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6B768" w14:textId="77777777" w:rsidR="00573DB1" w:rsidRDefault="001E6DA5">
      <w:pPr>
        <w:spacing w:after="160" w:line="300" w:lineRule="auto"/>
        <w:jc w:val="center"/>
        <w:rPr>
          <w:lang w:eastAsia="zh-TW"/>
        </w:rPr>
      </w:pPr>
      <w:r>
        <w:rPr>
          <w:b/>
          <w:sz w:val="32"/>
          <w:lang w:eastAsia="zh-TW"/>
        </w:rPr>
        <w:t>工研院綠能所資通服務採購規範書</w:t>
      </w:r>
    </w:p>
    <w:p w14:paraId="6D0709B7" w14:textId="121372AD" w:rsidR="00573DB1" w:rsidRPr="00CB40C5" w:rsidRDefault="001E6DA5">
      <w:pPr>
        <w:spacing w:after="1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購案名稱：</w:t>
      </w: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視覺化太陽光電系統</w:t>
      </w: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渲染模型建置資通服務</w:t>
      </w:r>
    </w:p>
    <w:p w14:paraId="77468F27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一、目的及用途</w:t>
      </w:r>
    </w:p>
    <w:p w14:paraId="68EEC081" w14:textId="206191D7" w:rsidR="00573DB1" w:rsidRPr="00CB40C5" w:rsidRDefault="00790383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Times New Roman" w:hAnsi="Times New Roman" w:cs="Times New Roman" w:hint="eastAsia"/>
          <w:sz w:val="28"/>
          <w:szCs w:val="28"/>
          <w:lang w:eastAsia="zh-TW"/>
        </w:rPr>
        <w:t xml:space="preserve">       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為配合國內淨零建築、屋頂型太陽光電系統及多元光電應用推動需求，辦理「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視覺化太陽光電系統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渲染模型設計建置資通服務」。本案目的在於建立可供院內展示、測試及後續擴充之資通服務原型，整合太陽光電前期規劃、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3D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視覺化互動介面、遮蔽與配置邏輯、構件資料對照、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影像辨識及巡檢紀錄輸出，提升太陽光電系統由設計評估至後續巡檢管理之數位化程度。</w:t>
      </w:r>
    </w:p>
    <w:p w14:paraId="2A5C0016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本案後續將朝民眾互動與可理解化方向推進。平台可規劃讓使用者於初步階段輸入地址、屋頂型式、屋頂面積、方位、遮蔽物、可接受外觀風格及預算條件等資料，並透過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風格化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外觀展示，呈現簡約型、綠色生態型、建築整合型或其他可視化風格，使民眾先掌握太陽光電設置後之外觀美感、建置可行性、預算範圍、回收期及補助機會。</w:t>
      </w:r>
    </w:p>
    <w:p w14:paraId="267C2310" w14:textId="77DD1E58" w:rsidR="00573DB1" w:rsidRPr="00CB40C5" w:rsidRDefault="00790383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Times New Roman" w:hAnsi="Times New Roman" w:cs="Times New Roman" w:hint="eastAsia"/>
          <w:sz w:val="28"/>
          <w:szCs w:val="28"/>
          <w:lang w:eastAsia="zh-TW"/>
        </w:rPr>
        <w:t xml:space="preserve">       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平台資料庫後續可納入各縣市太陽光電相關規定、補助要求、申請條件、推薦廠商、政府窗口及相關服務資訊，作為平台輸出內容之一。其目的在於強化推廣、展示與初步評估階段之應用價值，協助使用者降低理解門檻，並讓後續專業設計、場勘或諮詢作業有較明確之前置資料。</w:t>
      </w:r>
    </w:p>
    <w:p w14:paraId="0359D2D7" w14:textId="11BE3888" w:rsidR="00573DB1" w:rsidRPr="00CB40C5" w:rsidRDefault="00790383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>
        <w:rPr>
          <w:rFonts w:ascii="Times New Roman" w:hAnsi="Times New Roman" w:cs="Times New Roman" w:hint="eastAsia"/>
          <w:sz w:val="28"/>
          <w:szCs w:val="28"/>
          <w:lang w:eastAsia="zh-TW"/>
        </w:rPr>
        <w:t xml:space="preserve">       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本案屬資通服務採購，服務成果以網站互動介面、行動端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App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原型、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風格化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展示流程、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API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串接、資料庫欄位、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模型推論流程、雲端或網站租用環境、</w:t>
      </w:r>
      <w:r w:rsidR="001E6DA5" w:rsidRPr="00790383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t>測試報告、操作手冊及成果報告為主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。原則上以</w:t>
      </w:r>
      <w:r w:rsidR="001E6DA5" w:rsidRPr="00CB40C5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t>本院內部研發、示範展示及委</w:t>
      </w:r>
      <w:r w:rsidR="001E6DA5" w:rsidRPr="00CB40C5">
        <w:rPr>
          <w:rFonts w:ascii="Times New Roman" w:hAnsi="Times New Roman" w:cs="Times New Roman"/>
          <w:sz w:val="28"/>
          <w:szCs w:val="28"/>
          <w:highlight w:val="yellow"/>
          <w:lang w:eastAsia="zh-TW"/>
        </w:rPr>
        <w:lastRenderedPageBreak/>
        <w:t>託計畫資料整理使用為範圍</w:t>
      </w:r>
      <w:r w:rsidR="001E6DA5" w:rsidRPr="00CB40C5">
        <w:rPr>
          <w:rFonts w:ascii="Times New Roman" w:hAnsi="Times New Roman" w:cs="Times New Roman"/>
          <w:sz w:val="28"/>
          <w:szCs w:val="28"/>
          <w:lang w:eastAsia="zh-TW"/>
        </w:rPr>
        <w:t>；若後續需要對外展示或擴大服務，應另依本院資訊安全及資料分級規定完成核准。</w:t>
      </w:r>
    </w:p>
    <w:p w14:paraId="27FA3429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二、採購屬性及資通服務範圍</w:t>
      </w:r>
    </w:p>
    <w:p w14:paraId="44AFC942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本案採購屬性界定為資通服務，得包含下列服務項目。廠商應於服務建議書中明列實際採用之網站空間、雲端主機、外部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API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模型服務、資料庫、設計工具、測試工具與第三方服務，並說明資料流向、帳號權限、服務所在地、費用估算及資安控管方式。</w:t>
      </w:r>
    </w:p>
    <w:p w14:paraId="26C8C3F1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本案明確排除項目：硬體設備採購、太陽光電支架或模組施工、機電安裝、正式營運代管、無關之套裝軟體購置、非本案必要之設備服務，以及未經請購單位核准之外部資料服務。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517"/>
        <w:gridCol w:w="2521"/>
        <w:gridCol w:w="2519"/>
        <w:gridCol w:w="2519"/>
      </w:tblGrid>
      <w:tr w:rsidR="00573DB1" w:rsidRPr="00CB40C5" w14:paraId="6D55B817" w14:textId="77777777">
        <w:trPr>
          <w:tblHeader/>
          <w:jc w:val="center"/>
        </w:trPr>
        <w:tc>
          <w:tcPr>
            <w:tcW w:w="2521" w:type="dxa"/>
            <w:shd w:val="clear" w:color="auto" w:fill="D9EAF7"/>
          </w:tcPr>
          <w:p w14:paraId="7F11BBA7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b/>
                <w:sz w:val="28"/>
                <w:szCs w:val="28"/>
              </w:rPr>
              <w:t>服務分類</w:t>
            </w:r>
          </w:p>
        </w:tc>
        <w:tc>
          <w:tcPr>
            <w:tcW w:w="2521" w:type="dxa"/>
            <w:shd w:val="clear" w:color="auto" w:fill="D9EAF7"/>
          </w:tcPr>
          <w:p w14:paraId="66590454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b/>
                <w:sz w:val="28"/>
                <w:szCs w:val="28"/>
              </w:rPr>
              <w:t>可納入本案之內容</w:t>
            </w:r>
          </w:p>
        </w:tc>
        <w:tc>
          <w:tcPr>
            <w:tcW w:w="2521" w:type="dxa"/>
            <w:shd w:val="clear" w:color="auto" w:fill="D9EAF7"/>
          </w:tcPr>
          <w:p w14:paraId="000804BA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b/>
                <w:sz w:val="28"/>
                <w:szCs w:val="28"/>
              </w:rPr>
              <w:t>交付或查核重點</w:t>
            </w:r>
          </w:p>
        </w:tc>
        <w:tc>
          <w:tcPr>
            <w:tcW w:w="2521" w:type="dxa"/>
            <w:shd w:val="clear" w:color="auto" w:fill="D9EAF7"/>
          </w:tcPr>
          <w:p w14:paraId="4EAA10DC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b/>
                <w:sz w:val="28"/>
                <w:szCs w:val="28"/>
              </w:rPr>
              <w:t>限制及注意事項</w:t>
            </w:r>
          </w:p>
        </w:tc>
      </w:tr>
      <w:tr w:rsidR="00573DB1" w:rsidRPr="00CB40C5" w14:paraId="71F38A36" w14:textId="77777777">
        <w:trPr>
          <w:jc w:val="center"/>
        </w:trPr>
        <w:tc>
          <w:tcPr>
            <w:tcW w:w="2521" w:type="dxa"/>
          </w:tcPr>
          <w:p w14:paraId="0C842E9D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網站及雲端相關服務</w:t>
            </w:r>
          </w:p>
        </w:tc>
        <w:tc>
          <w:tcPr>
            <w:tcW w:w="2521" w:type="dxa"/>
          </w:tcPr>
          <w:p w14:paraId="45FCF202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網站空間、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Web hosting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、雲端主機、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VPS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、網域或測試網址、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SSL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憑證、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Docker/Container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WAF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或同等防護設定。</w:t>
            </w:r>
          </w:p>
        </w:tc>
        <w:tc>
          <w:tcPr>
            <w:tcW w:w="2521" w:type="dxa"/>
          </w:tcPr>
          <w:p w14:paraId="13DD20AE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提供租用或測試環境清單、管理權限、服務架構圖、憑證與網域設定說明。</w:t>
            </w:r>
          </w:p>
        </w:tc>
        <w:tc>
          <w:tcPr>
            <w:tcW w:w="2521" w:type="dxa"/>
          </w:tcPr>
          <w:p w14:paraId="253B608B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如使用境外雲端或境外資通服務，須事前提出資料流向、服務所在地及資安聲明，經請購單位與本院資訊單位同意後始得使用。</w:t>
            </w:r>
          </w:p>
        </w:tc>
      </w:tr>
      <w:tr w:rsidR="00573DB1" w:rsidRPr="00CB40C5" w14:paraId="4225D30C" w14:textId="77777777">
        <w:trPr>
          <w:jc w:val="center"/>
        </w:trPr>
        <w:tc>
          <w:tcPr>
            <w:tcW w:w="2521" w:type="dxa"/>
          </w:tcPr>
          <w:p w14:paraId="270A3207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端點及外部服務</w:t>
            </w:r>
          </w:p>
        </w:tc>
        <w:tc>
          <w:tcPr>
            <w:tcW w:w="2521" w:type="dxa"/>
          </w:tcPr>
          <w:p w14:paraId="4D2E0C7C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Google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Microsoft Azure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OpenAI API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ChatGPT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付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費方案、影像辨識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 API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、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WebEX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或其他雲端協作服務。</w:t>
            </w:r>
          </w:p>
        </w:tc>
        <w:tc>
          <w:tcPr>
            <w:tcW w:w="2521" w:type="dxa"/>
          </w:tcPr>
          <w:p w14:paraId="7AA1D7FF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lastRenderedPageBreak/>
              <w:t>提供服務名稱、用途、帳號管理方式、資料是否上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lastRenderedPageBreak/>
              <w:t>傳、保存期間、刪除方式及費用明細。</w:t>
            </w:r>
          </w:p>
        </w:tc>
        <w:tc>
          <w:tcPr>
            <w:tcW w:w="2521" w:type="dxa"/>
          </w:tcPr>
          <w:p w14:paraId="2DE84182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lastRenderedPageBreak/>
              <w:t>不得未經同意將本院資料上傳至公開生成式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 AI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或不可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lastRenderedPageBreak/>
              <w:t>控之外部服務；若需使用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 API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，須採可控帳號、可追溯紀錄及最小權限原則。</w:t>
            </w:r>
          </w:p>
        </w:tc>
      </w:tr>
      <w:tr w:rsidR="00573DB1" w:rsidRPr="00CB40C5" w14:paraId="3B6F577A" w14:textId="77777777">
        <w:trPr>
          <w:jc w:val="center"/>
        </w:trPr>
        <w:tc>
          <w:tcPr>
            <w:tcW w:w="2521" w:type="dxa"/>
          </w:tcPr>
          <w:p w14:paraId="401E3D64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互動介面及資料服務</w:t>
            </w:r>
          </w:p>
        </w:tc>
        <w:tc>
          <w:tcPr>
            <w:tcW w:w="2521" w:type="dxa"/>
          </w:tcPr>
          <w:p w14:paraId="6325EA7C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網站互動介面、行動端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 App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原型、民眾輸入頁面、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AI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風格化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 3D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外觀展示、後台資料管理頁面、資料庫欄位、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API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串接、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3D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模型展示與配置計算。</w:t>
            </w:r>
          </w:p>
        </w:tc>
        <w:tc>
          <w:tcPr>
            <w:tcW w:w="2521" w:type="dxa"/>
          </w:tcPr>
          <w:p w14:paraId="40A189FD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提供需求規格、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UI/UX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畫面、資料庫欄位表、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API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文件、測試紀錄、展示版本與操作說明。</w:t>
            </w:r>
          </w:p>
        </w:tc>
        <w:tc>
          <w:tcPr>
            <w:tcW w:w="2521" w:type="dxa"/>
          </w:tcPr>
          <w:p w14:paraId="10377AD1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本案不採購硬體設備，不包含正式上架之商業營運；若需公開上線，應另辦資安評估及資料分級審查。</w:t>
            </w:r>
          </w:p>
        </w:tc>
      </w:tr>
      <w:tr w:rsidR="00573DB1" w:rsidRPr="00CB40C5" w14:paraId="7F07C643" w14:textId="77777777">
        <w:trPr>
          <w:jc w:val="center"/>
        </w:trPr>
        <w:tc>
          <w:tcPr>
            <w:tcW w:w="2521" w:type="dxa"/>
          </w:tcPr>
          <w:p w14:paraId="397BBBF6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資安檢測與設定服務</w:t>
            </w:r>
          </w:p>
        </w:tc>
        <w:tc>
          <w:tcPr>
            <w:tcW w:w="2521" w:type="dxa"/>
          </w:tcPr>
          <w:p w14:paraId="5AE6A1A2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弱點掃描、主機弱掃、滲透測試、資安設定檢核、備份還原測試、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Log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紀錄及使用者權限設定。</w:t>
            </w:r>
          </w:p>
        </w:tc>
        <w:tc>
          <w:tcPr>
            <w:tcW w:w="2521" w:type="dxa"/>
          </w:tcPr>
          <w:p w14:paraId="5CD3B8D0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提供檢測報告、修補紀錄、權限清單、備份還原程序及結案移交文件。</w:t>
            </w:r>
          </w:p>
        </w:tc>
        <w:tc>
          <w:tcPr>
            <w:tcW w:w="2521" w:type="dxa"/>
          </w:tcPr>
          <w:p w14:paraId="4165F228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若本案服務涉及院內網路、院內資料或對外連線，須依本院資訊安全規定辦理審查與修補。</w:t>
            </w:r>
          </w:p>
        </w:tc>
      </w:tr>
    </w:tbl>
    <w:p w14:paraId="21597518" w14:textId="77777777" w:rsidR="00CB40C5" w:rsidRPr="00CB40C5" w:rsidRDefault="00CB40C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</w:p>
    <w:p w14:paraId="139ACEEE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三、工作項目</w:t>
      </w:r>
    </w:p>
    <w:p w14:paraId="350149BE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lastRenderedPageBreak/>
        <w:t>（一）需求訪談與資通服務規格盤點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辦理需求訪談與功能規格確認，盤點使用者角色、輸入欄位、輸出報表、資料庫欄位、外部服務、雲端或網站部署環境、資料保存方式及權限控管方式。完成服務架構圖、資料流程圖、資通服務清單與設計建置規劃書。</w:t>
      </w:r>
    </w:p>
    <w:p w14:paraId="0D76CA3B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（二）民眾互動介面與可理解化設計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：規劃民眾易於操作之網站或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App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互動介面，使使用者可依步驟輸入地址、屋頂型式、屋頂面積、方位、遮蔽物、建築類型、預算範圍及偏好外觀風格。介面應以圖像化、流程化及清楚提示方式呈現，降低非專業使用者理解門檻。</w:t>
      </w:r>
    </w:p>
    <w:p w14:paraId="2138E27F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（三）地址與屋頂資料輸入及初步評估欄位建置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：建立地址、屋頂尺寸、屋頂結構型式、使用用途、遮蔽物、方位、傾角、用電型態、期望容量及預算條件等欄位格式，並規劃後續可與地圖、地理位置、日照或行政區資料串接之資料架構。</w:t>
      </w:r>
    </w:p>
    <w:p w14:paraId="1E55EA4C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（四）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風格化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外觀展示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：建置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視覺化展示流程，依輸入條件產出不同風格之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外觀示意，例如簡約型、綠色生態型、建築整合型或其他展示風格。成果應使使用者於初步階段即可理解設置後之外觀、美觀性、屋頂利用情形及可能之視覺影響。</w:t>
      </w:r>
    </w:p>
    <w:p w14:paraId="610A1603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（五）初步建置評估與效益輸出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依屋頂條件與配置邏輯，提供初步可設置容量、模組片數、屋頂利用率、遮蔽風險、預估發電量、概略建置預算、簡易回收期、補助機會及後續應確認事項。相關結果定位為前期評估與展示用途，實際設計仍須經專業場勘、結構與電氣確認。</w:t>
      </w:r>
    </w:p>
    <w:p w14:paraId="5AFB57F7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（六）法規、補助、廠商及政府窗口資料庫規劃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：建置各縣市相關規定、補助要求、申請文件、資格條件、可洽詢政府窗口、推薦廠商或服務單位等資料欄位。資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lastRenderedPageBreak/>
        <w:t>料庫應可依縣市、建築類型、系統容量、設置型態及補助類別進行分類，以利後續平台輸出對應資訊。</w:t>
      </w:r>
    </w:p>
    <w:p w14:paraId="776A87A1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（七）太陽光電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配置與遮蔽計算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：建置屋頂型太陽光電系統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模型互動式介面。使用者輸入屋頂長寬、障礙物位置、系統容量、模組規格、傾角、欄距、地理位置及必要之案場條件後，服務應可完成幾何可行性檢核、列欄配置計算、自遮陰風險判定、模組片數與屋頂利用率估算，並輸出占用尺寸、示意圖面及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視覺化畫面。</w:t>
      </w:r>
    </w:p>
    <w:p w14:paraId="4CE210B7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（八）配置演算法與工程邏輯建置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依屋頂條件建立配置演算法設計邏輯，先以幾何規則完成可行性篩選，再於可行範圍內搜尋較佳配置方案。演算法應納入裝置容量、年發電效益、自遮陰損失控制、施工與檢修可行性等因素，使輸出結果可作為工程初步評估及視覺展示之依據。</w:t>
      </w:r>
    </w:p>
    <w:p w14:paraId="17A8259C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（九）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 xml:space="preserve">3D 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模型與構件材料規格對照資料建置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：建立支架構件資料庫，將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模型中之光電模組、前後立柱、縱樑、橫樑、連接件、壓件、螺栓組、配電箱或逆變器等，與實際規格、功能、材料、表面處理建議及巡檢定位欄位相互對照，使設計圖面、採購構件、施工資料與巡檢紀錄得以串接。</w:t>
      </w:r>
    </w:p>
    <w:p w14:paraId="28B77F15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（十）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影像辨識與巡檢紀錄功能建置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：建置太陽光電系統現場巡檢與災後比對之影像辨識功能。服務應可接收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RGB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IR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影像，並保留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EL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影像擴充介面，以執行腐蝕、熱異常、裂損、積塵、遮蔭、破損及災後變化等缺陷之辨識、分類、定位、分級與報告輸出。功能應包含影像取得、即時或批次辨識、分類定位、前後比對、疊圖留存、時間戳、設備來源保存及統一格式輸出。</w:t>
      </w:r>
    </w:p>
    <w:p w14:paraId="2292FEF4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lastRenderedPageBreak/>
        <w:t>（十一）缺陷量化、分級與案件追蹤格式建置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建立缺陷類型、位置資訊、影像來源、拍攝時間、嚴重度、面積或數量估計、初步處置建議、是否完成處理等欄位格式，並可依案場區位、列號、模組號或構件號進行清單彙整，以利後續派工、案件追蹤與災後損失評估。</w:t>
      </w:r>
    </w:p>
    <w:p w14:paraId="7C4BA490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（十二）網站或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 xml:space="preserve"> App </w:t>
      </w: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測試環境與資安設定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：依本案實際需要建置測試網址、測試主機、容器化服務或等效測試環境，完成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SSL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、帳號權限、資料備份、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Log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紀錄、基本弱點掃描或安全檢核。若採用雲端或外部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API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，須完成服務清單、金流或授權方式、資料流向與風險控管說明。</w:t>
      </w:r>
    </w:p>
    <w:p w14:paraId="7CF524EA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bCs/>
          <w:sz w:val="28"/>
          <w:szCs w:val="28"/>
          <w:lang w:eastAsia="zh-TW"/>
        </w:rPr>
        <w:t>（十三）案例整合、場域測試與成果彙整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：辦理屋頂型配置案例展示、民眾互動流程展示、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風格化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外觀展示、支架構件案例資料整合、現場操作測試、模型與辨識結果修正、報告格式確認、操作手冊撰寫及成果彙整，形成可供後續擴充應用之資通服務原型。</w:t>
      </w:r>
    </w:p>
    <w:p w14:paraId="639627E8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四、資安、資料保護及外部服務使用規範</w:t>
      </w:r>
    </w:p>
    <w:p w14:paraId="1285D5B6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廠商應依本院資訊安全要求及政府機關資通服務採購管理精神辦理，並至少符合下列事項：</w:t>
      </w:r>
    </w:p>
    <w:p w14:paraId="33646635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資料分級與用途限制：本案資料僅供本院內部研發、測試及成果展示使用，未經書面同意不得對外公開、轉供、再利用或作為第三方模型訓練資料。</w:t>
      </w:r>
    </w:p>
    <w:p w14:paraId="2DB1D6D9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帳號與權限管理：所有雲端、網站、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API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、儲存空間及協作平台帳號應採最小權限原則，並於結案時完成帳號、金鑰、密碼、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Token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、管理權限及資料備份之移交或註銷。</w:t>
      </w:r>
    </w:p>
    <w:p w14:paraId="1A8C0346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</w:rPr>
      </w:pPr>
      <w:r w:rsidRPr="00CB40C5">
        <w:rPr>
          <w:rFonts w:ascii="Times New Roman" w:hAnsi="Times New Roman" w:cs="Times New Roman"/>
          <w:sz w:val="28"/>
          <w:szCs w:val="28"/>
        </w:rPr>
        <w:lastRenderedPageBreak/>
        <w:t xml:space="preserve">• </w:t>
      </w:r>
      <w:r w:rsidRPr="00CB40C5">
        <w:rPr>
          <w:rFonts w:ascii="Times New Roman" w:hAnsi="Times New Roman" w:cs="Times New Roman"/>
          <w:sz w:val="28"/>
          <w:szCs w:val="28"/>
        </w:rPr>
        <w:t>外部服務揭露：若使用</w:t>
      </w:r>
      <w:r w:rsidRPr="00CB40C5">
        <w:rPr>
          <w:rFonts w:ascii="Times New Roman" w:hAnsi="Times New Roman" w:cs="Times New Roman"/>
          <w:sz w:val="28"/>
          <w:szCs w:val="28"/>
        </w:rPr>
        <w:t xml:space="preserve"> ChatGPT</w:t>
      </w:r>
      <w:r w:rsidRPr="00CB40C5">
        <w:rPr>
          <w:rFonts w:ascii="Times New Roman" w:hAnsi="Times New Roman" w:cs="Times New Roman"/>
          <w:sz w:val="28"/>
          <w:szCs w:val="28"/>
        </w:rPr>
        <w:t>、</w:t>
      </w:r>
      <w:r w:rsidRPr="00CB40C5">
        <w:rPr>
          <w:rFonts w:ascii="Times New Roman" w:hAnsi="Times New Roman" w:cs="Times New Roman"/>
          <w:sz w:val="28"/>
          <w:szCs w:val="28"/>
        </w:rPr>
        <w:t>OpenAI API</w:t>
      </w:r>
      <w:r w:rsidRPr="00CB40C5">
        <w:rPr>
          <w:rFonts w:ascii="Times New Roman" w:hAnsi="Times New Roman" w:cs="Times New Roman"/>
          <w:sz w:val="28"/>
          <w:szCs w:val="28"/>
        </w:rPr>
        <w:t>、</w:t>
      </w:r>
      <w:r w:rsidRPr="00CB40C5">
        <w:rPr>
          <w:rFonts w:ascii="Times New Roman" w:hAnsi="Times New Roman" w:cs="Times New Roman"/>
          <w:sz w:val="28"/>
          <w:szCs w:val="28"/>
        </w:rPr>
        <w:t>Google</w:t>
      </w:r>
      <w:r w:rsidRPr="00CB40C5">
        <w:rPr>
          <w:rFonts w:ascii="Times New Roman" w:hAnsi="Times New Roman" w:cs="Times New Roman"/>
          <w:sz w:val="28"/>
          <w:szCs w:val="28"/>
        </w:rPr>
        <w:t>、</w:t>
      </w:r>
      <w:r w:rsidRPr="00CB40C5">
        <w:rPr>
          <w:rFonts w:ascii="Times New Roman" w:hAnsi="Times New Roman" w:cs="Times New Roman"/>
          <w:sz w:val="28"/>
          <w:szCs w:val="28"/>
        </w:rPr>
        <w:t>Microsoft Azure</w:t>
      </w:r>
      <w:r w:rsidRPr="00CB40C5">
        <w:rPr>
          <w:rFonts w:ascii="Times New Roman" w:hAnsi="Times New Roman" w:cs="Times New Roman"/>
          <w:sz w:val="28"/>
          <w:szCs w:val="28"/>
        </w:rPr>
        <w:t>、</w:t>
      </w:r>
      <w:r w:rsidRPr="00CB40C5">
        <w:rPr>
          <w:rFonts w:ascii="Times New Roman" w:hAnsi="Times New Roman" w:cs="Times New Roman"/>
          <w:sz w:val="28"/>
          <w:szCs w:val="28"/>
        </w:rPr>
        <w:t>GitHub Copilot</w:t>
      </w:r>
      <w:r w:rsidRPr="00CB40C5">
        <w:rPr>
          <w:rFonts w:ascii="Times New Roman" w:hAnsi="Times New Roman" w:cs="Times New Roman"/>
          <w:sz w:val="28"/>
          <w:szCs w:val="28"/>
        </w:rPr>
        <w:t>、</w:t>
      </w:r>
      <w:r w:rsidRPr="00CB40C5">
        <w:rPr>
          <w:rFonts w:ascii="Times New Roman" w:hAnsi="Times New Roman" w:cs="Times New Roman"/>
          <w:sz w:val="28"/>
          <w:szCs w:val="28"/>
        </w:rPr>
        <w:t>Dropbox</w:t>
      </w:r>
      <w:r w:rsidRPr="00CB40C5">
        <w:rPr>
          <w:rFonts w:ascii="Times New Roman" w:hAnsi="Times New Roman" w:cs="Times New Roman"/>
          <w:sz w:val="28"/>
          <w:szCs w:val="28"/>
        </w:rPr>
        <w:t>、</w:t>
      </w:r>
      <w:r w:rsidRPr="00CB40C5">
        <w:rPr>
          <w:rFonts w:ascii="Times New Roman" w:hAnsi="Times New Roman" w:cs="Times New Roman"/>
          <w:sz w:val="28"/>
          <w:szCs w:val="28"/>
        </w:rPr>
        <w:t>SurveyCake</w:t>
      </w:r>
      <w:r w:rsidRPr="00CB40C5">
        <w:rPr>
          <w:rFonts w:ascii="Times New Roman" w:hAnsi="Times New Roman" w:cs="Times New Roman"/>
          <w:sz w:val="28"/>
          <w:szCs w:val="28"/>
        </w:rPr>
        <w:t>、</w:t>
      </w:r>
      <w:r w:rsidRPr="00CB40C5">
        <w:rPr>
          <w:rFonts w:ascii="Times New Roman" w:hAnsi="Times New Roman" w:cs="Times New Roman"/>
          <w:sz w:val="28"/>
          <w:szCs w:val="28"/>
        </w:rPr>
        <w:t xml:space="preserve">WebEX </w:t>
      </w:r>
      <w:r w:rsidRPr="00CB40C5">
        <w:rPr>
          <w:rFonts w:ascii="Times New Roman" w:hAnsi="Times New Roman" w:cs="Times New Roman"/>
          <w:sz w:val="28"/>
          <w:szCs w:val="28"/>
        </w:rPr>
        <w:t>或其他外部服務，須事前列明服務名稱、用途、資料類型、資料流向、保存期間、刪除方式及費用負擔。</w:t>
      </w:r>
    </w:p>
    <w:p w14:paraId="08665000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境外資通服務控管：如需選擇境外資通服務，廠商應提出資料流向、服務所在地、資安聲明或等效文件，必要時透過國內可提供售前／售後服務之代理商或經銷商辦理，並經請購單位及本院資訊安全相關單位同意後始得使用。</w:t>
      </w:r>
    </w:p>
    <w:p w14:paraId="5817D2FC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中國大陸產品及服務限制：不得使用違反本院或政府資安規範之中國大陸廠牌、雲端服務、遠端協助工具、資料儲存服務或其他具資安疑慮之資通產品。</w:t>
      </w:r>
    </w:p>
    <w:p w14:paraId="2505F639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程式碼與套件管理：開源套件、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模型、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函式庫及第三方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SDK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應揭露授權條款與版本；不得納入侵害智慧財產權或限制本院後續使用之元件。</w:t>
      </w:r>
    </w:p>
    <w:p w14:paraId="70C3B907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資安檢測：廠商應於期末交付前完成基本安全檢核，至少包含帳號權限、弱密碼、公開連結、資料夾權限、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API Key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、錯誤訊息揭露、備份還原及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Log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紀錄檢查；若請購單位要求，應配合主機弱掃或滲透測試並完成修補。</w:t>
      </w:r>
    </w:p>
    <w:p w14:paraId="1F9E36F5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資料刪除與移交：結案後，廠商應依請購單位要求移交原始碼、模型、資料庫、文件、測試資料及帳號權限，並刪除廠商端留存資料，提出資料刪除或留存聲明。</w:t>
      </w:r>
    </w:p>
    <w:p w14:paraId="13AF20C2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五、驗收項目與時程</w:t>
      </w:r>
    </w:p>
    <w:p w14:paraId="40887E74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廠商應於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115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年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11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月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10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日前繳交本案相關成果文件電子檔及可操作之資通服務原型。預定查核與驗收項目如下；實際日期得依決標簽約日期及請購單位需求調整。</w:t>
      </w:r>
    </w:p>
    <w:tbl>
      <w:tblPr>
        <w:tblStyle w:val="aff2"/>
        <w:tblW w:w="0" w:type="auto"/>
        <w:jc w:val="center"/>
        <w:tblLook w:val="04A0" w:firstRow="1" w:lastRow="0" w:firstColumn="1" w:lastColumn="0" w:noHBand="0" w:noVBand="1"/>
      </w:tblPr>
      <w:tblGrid>
        <w:gridCol w:w="2519"/>
        <w:gridCol w:w="2519"/>
        <w:gridCol w:w="2519"/>
        <w:gridCol w:w="2519"/>
      </w:tblGrid>
      <w:tr w:rsidR="00573DB1" w:rsidRPr="00CB40C5" w14:paraId="00F8FE4E" w14:textId="77777777">
        <w:trPr>
          <w:tblHeader/>
          <w:jc w:val="center"/>
        </w:trPr>
        <w:tc>
          <w:tcPr>
            <w:tcW w:w="2521" w:type="dxa"/>
            <w:shd w:val="clear" w:color="auto" w:fill="D9EAF7"/>
          </w:tcPr>
          <w:p w14:paraId="4F680906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b/>
                <w:sz w:val="28"/>
                <w:szCs w:val="28"/>
              </w:rPr>
              <w:t>編號</w:t>
            </w:r>
          </w:p>
        </w:tc>
        <w:tc>
          <w:tcPr>
            <w:tcW w:w="2521" w:type="dxa"/>
            <w:shd w:val="clear" w:color="auto" w:fill="D9EAF7"/>
          </w:tcPr>
          <w:p w14:paraId="652EFFB2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b/>
                <w:sz w:val="28"/>
                <w:szCs w:val="28"/>
              </w:rPr>
              <w:t>驗收項目</w:t>
            </w:r>
          </w:p>
        </w:tc>
        <w:tc>
          <w:tcPr>
            <w:tcW w:w="2521" w:type="dxa"/>
            <w:shd w:val="clear" w:color="auto" w:fill="D9EAF7"/>
          </w:tcPr>
          <w:p w14:paraId="57144BAB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b/>
                <w:sz w:val="28"/>
                <w:szCs w:val="28"/>
              </w:rPr>
              <w:t>內容說明</w:t>
            </w:r>
          </w:p>
        </w:tc>
        <w:tc>
          <w:tcPr>
            <w:tcW w:w="2521" w:type="dxa"/>
            <w:shd w:val="clear" w:color="auto" w:fill="D9EAF7"/>
          </w:tcPr>
          <w:p w14:paraId="40A7D090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b/>
                <w:sz w:val="28"/>
                <w:szCs w:val="28"/>
              </w:rPr>
              <w:t>預定完成日期</w:t>
            </w:r>
          </w:p>
        </w:tc>
      </w:tr>
      <w:tr w:rsidR="00573DB1" w:rsidRPr="00CB40C5" w14:paraId="197485FA" w14:textId="77777777">
        <w:trPr>
          <w:jc w:val="center"/>
        </w:trPr>
        <w:tc>
          <w:tcPr>
            <w:tcW w:w="2521" w:type="dxa"/>
          </w:tcPr>
          <w:p w14:paraId="6B40AF94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521" w:type="dxa"/>
          </w:tcPr>
          <w:p w14:paraId="2B9CB847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資通服務設計建置規劃書</w:t>
            </w:r>
          </w:p>
        </w:tc>
        <w:tc>
          <w:tcPr>
            <w:tcW w:w="2521" w:type="dxa"/>
          </w:tcPr>
          <w:p w14:paraId="36565662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需求訪談紀錄、服務架構圖、資料流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lastRenderedPageBreak/>
              <w:t>程圖、服務清單、外部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 API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或雲端服務清單、民眾輸入欄位、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AI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風格化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 3D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展示流程、法規補助資料庫欄位初稿、時程規劃、資安控管規劃。</w:t>
            </w:r>
          </w:p>
        </w:tc>
        <w:tc>
          <w:tcPr>
            <w:tcW w:w="2521" w:type="dxa"/>
          </w:tcPr>
          <w:p w14:paraId="293CB83B" w14:textId="72FFCEF6" w:rsidR="00573DB1" w:rsidRPr="00CB40C5" w:rsidRDefault="00AA7143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lastRenderedPageBreak/>
              <w:t>訂購後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2</w:t>
            </w:r>
            <w:r>
              <w:rPr>
                <w:rFonts w:ascii="Times New Roman" w:hAnsi="Times New Roman" w:cs="Times New Roman" w:hint="eastAsia"/>
                <w:sz w:val="28"/>
                <w:szCs w:val="28"/>
                <w:lang w:eastAsia="zh-TW"/>
              </w:rPr>
              <w:t>週內</w:t>
            </w:r>
          </w:p>
        </w:tc>
      </w:tr>
      <w:tr w:rsidR="00573DB1" w:rsidRPr="00CB40C5" w14:paraId="250EF2EE" w14:textId="77777777">
        <w:trPr>
          <w:jc w:val="center"/>
        </w:trPr>
        <w:tc>
          <w:tcPr>
            <w:tcW w:w="2521" w:type="dxa"/>
          </w:tcPr>
          <w:p w14:paraId="264499CB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521" w:type="dxa"/>
          </w:tcPr>
          <w:p w14:paraId="30CCCFA6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民眾互動、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3D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視覺化與缺陷辨識原型展示及說明資料</w:t>
            </w:r>
          </w:p>
        </w:tc>
        <w:tc>
          <w:tcPr>
            <w:tcW w:w="2521" w:type="dxa"/>
          </w:tcPr>
          <w:p w14:paraId="3C46D10C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網站或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 App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操作展示、地址與屋頂資料輸入流程、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AI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風格化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 3D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外觀畫面、配置計算範例、初步預算與回收期示意、補助與法規資訊輸出範例、構件對照資料、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AI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影像辨識流程、測試環境與權限說明。</w:t>
            </w:r>
          </w:p>
        </w:tc>
        <w:tc>
          <w:tcPr>
            <w:tcW w:w="2521" w:type="dxa"/>
          </w:tcPr>
          <w:p w14:paraId="03CE869D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115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年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 9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月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 30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日</w:t>
            </w:r>
          </w:p>
        </w:tc>
      </w:tr>
      <w:tr w:rsidR="00573DB1" w:rsidRPr="00CB40C5" w14:paraId="3A79BE47" w14:textId="77777777">
        <w:trPr>
          <w:jc w:val="center"/>
        </w:trPr>
        <w:tc>
          <w:tcPr>
            <w:tcW w:w="2521" w:type="dxa"/>
          </w:tcPr>
          <w:p w14:paraId="498A4949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521" w:type="dxa"/>
          </w:tcPr>
          <w:p w14:paraId="592A5188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資通服務成果報告書及交付包</w:t>
            </w:r>
          </w:p>
        </w:tc>
        <w:tc>
          <w:tcPr>
            <w:tcW w:w="2521" w:type="dxa"/>
          </w:tcPr>
          <w:p w14:paraId="4786AA58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  <w:lang w:eastAsia="zh-TW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成果報告、操作手冊、原始碼或可執行交付包、資料庫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lastRenderedPageBreak/>
              <w:t>欄位表、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 xml:space="preserve">API </w:t>
            </w:r>
            <w:r w:rsidRPr="00CB40C5">
              <w:rPr>
                <w:rFonts w:ascii="Times New Roman" w:hAnsi="Times New Roman" w:cs="Times New Roman"/>
                <w:sz w:val="28"/>
                <w:szCs w:val="28"/>
                <w:lang w:eastAsia="zh-TW"/>
              </w:rPr>
              <w:t>文件、模型與版本說明、測試紀錄、資安檢核表、帳號與資料移交清單、後續改善建議。</w:t>
            </w:r>
          </w:p>
        </w:tc>
        <w:tc>
          <w:tcPr>
            <w:tcW w:w="2521" w:type="dxa"/>
          </w:tcPr>
          <w:p w14:paraId="1441C6F1" w14:textId="77777777" w:rsidR="00573DB1" w:rsidRPr="00CB40C5" w:rsidRDefault="001E6DA5">
            <w:pPr>
              <w:spacing w:line="264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CB40C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115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年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 11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月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 xml:space="preserve"> 10 </w:t>
            </w:r>
            <w:r w:rsidRPr="00CB40C5">
              <w:rPr>
                <w:rFonts w:ascii="Times New Roman" w:hAnsi="Times New Roman" w:cs="Times New Roman"/>
                <w:sz w:val="28"/>
                <w:szCs w:val="28"/>
              </w:rPr>
              <w:t>日</w:t>
            </w:r>
          </w:p>
        </w:tc>
      </w:tr>
    </w:tbl>
    <w:p w14:paraId="6B858281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前述成果內容至少應包括：平台功能架構、民眾互動流程、地址與屋頂資料輸入欄位、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風格化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外觀展示畫面、初步建置評估輸出格式、預算與回收期估算邏輯、補助與法規資料庫欄位、推薦廠商與政府窗口欄位、配置演算法說明、構件材料規格對照表、缺陷辨識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App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或網站端功能說明、缺陷量化分級格式、案例展示成果、操作手冊、資通服務清單、外部服務使用聲明、資安檢核紀錄及整體改善建議。</w:t>
      </w:r>
    </w:p>
    <w:p w14:paraId="7BEC9176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如請購單位有需要，廠商應配合出席期中、期末審查或成果展示會議，並依審查意見進行修正及補充。</w:t>
      </w:r>
    </w:p>
    <w:p w14:paraId="3D954CC9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六、廠商資格及能力條件</w:t>
      </w:r>
    </w:p>
    <w:p w14:paraId="23AF8AAC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廠商應具備執行本案之資通服務及跨領域整合能力。若由學校或研究單位承作，應由校方或研究單位提出正式承作文件，明確列示計畫主持人、專案窗口、工作團隊、資安窗口及履約責任。廠商應具下列能力之一項以上：</w:t>
      </w:r>
    </w:p>
    <w:p w14:paraId="20679F2F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具網站互動介面、行動端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App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原型、資料庫或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串接之設計建置經驗。</w:t>
      </w:r>
    </w:p>
    <w:p w14:paraId="4252987A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具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建模、參數化模型設計、視覺化平台建置或資料整合經驗。</w:t>
      </w:r>
    </w:p>
    <w:p w14:paraId="75B06851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lastRenderedPageBreak/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具太陽光電系統設計、模組配置、遮蔽模擬、結構構件整合或工程化應用平台建置能力。</w:t>
      </w:r>
    </w:p>
    <w:p w14:paraId="0B9EF021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具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影像辨識、離線推論、缺陷辨識模型訓練、影像資料標註或巡檢紀錄工具建置經驗。</w:t>
      </w:r>
    </w:p>
    <w:p w14:paraId="6B6EC979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具雲端服務、網站空間、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SSL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Docker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WAF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、弱掃、帳號權限及資安文件撰寫能力。</w:t>
      </w:r>
    </w:p>
    <w:p w14:paraId="14341C99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具太陽光電巡檢、災後判識、缺陷分級、工程資料格式化或案件追蹤資料整合經驗。</w:t>
      </w:r>
    </w:p>
    <w:p w14:paraId="2E39D3F4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具類似專案實績、學術研究成果、技術報告或可展示原型者尤佳。</w:t>
      </w:r>
    </w:p>
    <w:p w14:paraId="7B84FE38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七、完成期限</w:t>
      </w:r>
    </w:p>
    <w:p w14:paraId="3819AE98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本案履約期間自決標簽約日起至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115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年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11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月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10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日止，並應依第五點所列各查核點完成工作及成果交付。若請購單位另有既定履約期間，得據實調整各階段交付日期；惟廠商仍應確保期末前完成資通服務原型、成果報告、操作手冊、資安檢核及移交文件。</w:t>
      </w:r>
    </w:p>
    <w:p w14:paraId="4C4BC79F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八、權利歸屬及智慧財產權</w:t>
      </w:r>
    </w:p>
    <w:p w14:paraId="123606C4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凡因執行本購案所產生之程式、模型、演算法、資料庫、圖表、介面畫面、影像、報告、說明文件、操作手冊、測試資料、服務設定、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API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文件及其他相關成果，其所有權及智慧財產權除法令另有規定或契約另有約定外，均歸工業技術研究院所有。未經工業技術研究院書面同意，廠商不得擅自對外公開、發表、轉授權、複製、修改或移作其他用途。</w:t>
      </w:r>
    </w:p>
    <w:p w14:paraId="3DAE452D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lastRenderedPageBreak/>
        <w:t>廠商如使用自有既有程式、開源套件、第三方模型、商用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或雲端服務，應於服務建議書及成果報告中列明名稱、版本、授權條款、使用限制及費用。該等元件不得妨礙工業技術研究院後續使用、展示、研究或擴充本案成果。</w:t>
      </w:r>
    </w:p>
    <w:p w14:paraId="61A09D1F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九、付款方式</w:t>
      </w:r>
    </w:p>
    <w:p w14:paraId="69B89CEE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本案付款方式建議分三期辦理，並以各階段驗收通過為付款依據：</w:t>
      </w:r>
    </w:p>
    <w:p w14:paraId="6A693B2A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完成驗收項目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1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「資通服務設計建置規劃書」，並經請購單位審查通過後，支付契約總價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30%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。</w:t>
      </w:r>
    </w:p>
    <w:p w14:paraId="620F98E4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完成驗收項目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2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「民眾互動、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視覺化與缺陷辨識原型展示及說明資料」，並經請購單位確認符合需求後，支付契約總價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40%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。</w:t>
      </w:r>
    </w:p>
    <w:p w14:paraId="0B694C7B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完成驗收項目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「資通服務成果報告書及交付包」，並經結案驗收合格後，支付契約總價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30%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。</w:t>
      </w:r>
    </w:p>
    <w:p w14:paraId="61A7C281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十、結案驗收</w:t>
      </w:r>
    </w:p>
    <w:p w14:paraId="7BDDB510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本案結案驗收依契約及本規範書相關條款辦理。廠商交付之平台、原型、規劃書、報告書、操作手冊、案例展示成果、原始碼或可執行交付包、資料庫欄位表、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API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文件、資通服務清單、資安檢核紀錄、帳號與資料移交清單及相關附件，須經請購單位確認符合需求，始得辦理驗收合格。</w:t>
      </w:r>
    </w:p>
    <w:p w14:paraId="03781DBA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>如交付內容不完整、功能未達需求、資料格式不符、外部服務揭露不完整、資安檢核未通過或經審查認有修正必要者，廠商應依請購單位通知期限完成補正、修訂、修補或補件，至符合規定後始得結案。</w:t>
      </w:r>
    </w:p>
    <w:p w14:paraId="3219263D" w14:textId="77777777" w:rsidR="00573DB1" w:rsidRPr="00CB40C5" w:rsidRDefault="001E6DA5">
      <w:pPr>
        <w:spacing w:before="200" w:after="80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b/>
          <w:sz w:val="28"/>
          <w:szCs w:val="28"/>
          <w:lang w:eastAsia="zh-TW"/>
        </w:rPr>
        <w:t>十一、建議檢附文件</w:t>
      </w:r>
    </w:p>
    <w:p w14:paraId="09DCB872" w14:textId="77777777" w:rsidR="00573DB1" w:rsidRPr="00CB40C5" w:rsidRDefault="001E6DA5">
      <w:pPr>
        <w:spacing w:after="12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lastRenderedPageBreak/>
        <w:t>廠商投標或議價時，建議檢附下列文件，以利確認本案符合資通服務採購屬性及資訊安全要求：</w:t>
      </w:r>
    </w:p>
    <w:p w14:paraId="739CAF6C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服務建議書及時程表。</w:t>
      </w:r>
    </w:p>
    <w:p w14:paraId="5D02C369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資通服務項目清單，包括網站空間、雲端主機、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API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模型服務、協作平台及費用估算。</w:t>
      </w:r>
    </w:p>
    <w:p w14:paraId="4E0F72AD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服務架構圖、資料流程圖及權限設計初稿。</w:t>
      </w:r>
    </w:p>
    <w:p w14:paraId="41AF4764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民眾互動介面、地址與屋頂資料輸入、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風格化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外觀展示及初步建置評估之示意畫面。</w:t>
      </w:r>
    </w:p>
    <w:p w14:paraId="7C529A6C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法規、補助、推薦廠商及政府窗口資料庫欄位規劃。</w:t>
      </w:r>
    </w:p>
    <w:p w14:paraId="07FB0BF0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外部服務或境外資通服務之資安聲明、服務所在地、資料保存及刪除方式。</w:t>
      </w:r>
    </w:p>
    <w:p w14:paraId="45059C7A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開源套件、第三方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SDK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、模型或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 API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之授權與使用限制說明。</w:t>
      </w:r>
    </w:p>
    <w:p w14:paraId="0350C732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類似網站、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App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3D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視覺化、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AI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影像辨識或光電系統應用實績。</w:t>
      </w:r>
    </w:p>
    <w:p w14:paraId="4CF67898" w14:textId="77777777" w:rsidR="00573DB1" w:rsidRPr="00CB40C5" w:rsidRDefault="001E6DA5">
      <w:pPr>
        <w:spacing w:after="60" w:line="300" w:lineRule="auto"/>
        <w:rPr>
          <w:rFonts w:ascii="Times New Roman" w:hAnsi="Times New Roman" w:cs="Times New Roman"/>
          <w:sz w:val="28"/>
          <w:szCs w:val="28"/>
          <w:lang w:eastAsia="zh-TW"/>
        </w:rPr>
      </w:pPr>
      <w:r w:rsidRPr="00CB40C5">
        <w:rPr>
          <w:rFonts w:ascii="Times New Roman" w:hAnsi="Times New Roman" w:cs="Times New Roman"/>
          <w:sz w:val="28"/>
          <w:szCs w:val="28"/>
          <w:lang w:eastAsia="zh-TW"/>
        </w:rPr>
        <w:t xml:space="preserve">• </w:t>
      </w:r>
      <w:r w:rsidRPr="00CB40C5">
        <w:rPr>
          <w:rFonts w:ascii="Times New Roman" w:hAnsi="Times New Roman" w:cs="Times New Roman"/>
          <w:sz w:val="28"/>
          <w:szCs w:val="28"/>
          <w:lang w:eastAsia="zh-TW"/>
        </w:rPr>
        <w:t>資安檢核或弱點修補流程說明。</w:t>
      </w:r>
    </w:p>
    <w:sectPr w:rsidR="00573DB1" w:rsidRPr="00CB40C5" w:rsidSect="00034616">
      <w:footerReference w:type="default" r:id="rId8"/>
      <w:pgSz w:w="12240" w:h="15840"/>
      <w:pgMar w:top="1020" w:right="1077" w:bottom="1020" w:left="107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724F30" w14:textId="77777777" w:rsidR="00CB11F2" w:rsidRDefault="00CB11F2" w:rsidP="00CB40C5">
      <w:pPr>
        <w:spacing w:after="0" w:line="240" w:lineRule="auto"/>
      </w:pPr>
      <w:r>
        <w:separator/>
      </w:r>
    </w:p>
  </w:endnote>
  <w:endnote w:type="continuationSeparator" w:id="0">
    <w:p w14:paraId="391A3B35" w14:textId="77777777" w:rsidR="00CB11F2" w:rsidRDefault="00CB11F2" w:rsidP="00CB40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73486260"/>
      <w:docPartObj>
        <w:docPartGallery w:val="Page Numbers (Bottom of Page)"/>
        <w:docPartUnique/>
      </w:docPartObj>
    </w:sdtPr>
    <w:sdtEndPr/>
    <w:sdtContent>
      <w:p w14:paraId="721BF2E9" w14:textId="5FEC5A94" w:rsidR="006A697C" w:rsidRDefault="006A697C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  <w:p w14:paraId="6C359553" w14:textId="77777777" w:rsidR="006A697C" w:rsidRDefault="006A697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3B5B15" w14:textId="77777777" w:rsidR="00CB11F2" w:rsidRDefault="00CB11F2" w:rsidP="00CB40C5">
      <w:pPr>
        <w:spacing w:after="0" w:line="240" w:lineRule="auto"/>
      </w:pPr>
      <w:r>
        <w:separator/>
      </w:r>
    </w:p>
  </w:footnote>
  <w:footnote w:type="continuationSeparator" w:id="0">
    <w:p w14:paraId="63E05952" w14:textId="77777777" w:rsidR="00CB11F2" w:rsidRDefault="00CB11F2" w:rsidP="00CB40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6DA5"/>
    <w:rsid w:val="0029639D"/>
    <w:rsid w:val="00326F90"/>
    <w:rsid w:val="00573DB1"/>
    <w:rsid w:val="006A697C"/>
    <w:rsid w:val="00790383"/>
    <w:rsid w:val="00AA1D8D"/>
    <w:rsid w:val="00AA7143"/>
    <w:rsid w:val="00B47730"/>
    <w:rsid w:val="00C10986"/>
    <w:rsid w:val="00CB0664"/>
    <w:rsid w:val="00CB11F2"/>
    <w:rsid w:val="00CB40C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E7531BE"/>
  <w14:defaultImageDpi w14:val="300"/>
  <w15:docId w15:val="{6553D248-5C25-45A1-AA98-EFDD419A33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微軟正黑體" w:eastAsia="微軟正黑體" w:hAnsi="微軟正黑體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首 字元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頁尾 字元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標題 1 字元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標題 2 字元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標題 3 字元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標題 字元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副標題 字元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本文 字元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本文 2 字元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本文 3 字元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巨集文字 字元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af5">
    <w:name w:val="Quote"/>
    <w:basedOn w:val="a1"/>
    <w:next w:val="a1"/>
    <w:link w:val="af6"/>
    <w:uiPriority w:val="29"/>
    <w:qFormat/>
    <w:rsid w:val="00FC693F"/>
    <w:rPr>
      <w:i/>
      <w:iCs/>
      <w:color w:val="000000" w:themeColor="text1"/>
    </w:rPr>
  </w:style>
  <w:style w:type="character" w:customStyle="1" w:styleId="af6">
    <w:name w:val="引文 字元"/>
    <w:basedOn w:val="a2"/>
    <w:link w:val="af5"/>
    <w:uiPriority w:val="29"/>
    <w:rsid w:val="00FC693F"/>
    <w:rPr>
      <w:i/>
      <w:iCs/>
      <w:color w:val="000000" w:themeColor="text1"/>
    </w:rPr>
  </w:style>
  <w:style w:type="character" w:customStyle="1" w:styleId="40">
    <w:name w:val="標題 4 字元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7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8">
    <w:name w:val="Strong"/>
    <w:basedOn w:val="a2"/>
    <w:uiPriority w:val="22"/>
    <w:qFormat/>
    <w:rsid w:val="00FC693F"/>
    <w:rPr>
      <w:b/>
      <w:bCs/>
    </w:rPr>
  </w:style>
  <w:style w:type="character" w:styleId="af9">
    <w:name w:val="Emphasis"/>
    <w:basedOn w:val="a2"/>
    <w:uiPriority w:val="20"/>
    <w:qFormat/>
    <w:rsid w:val="00FC693F"/>
    <w:rPr>
      <w:i/>
      <w:iCs/>
    </w:rPr>
  </w:style>
  <w:style w:type="paragraph" w:styleId="afa">
    <w:name w:val="Intense Quote"/>
    <w:basedOn w:val="a1"/>
    <w:next w:val="a1"/>
    <w:link w:val="afb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b">
    <w:name w:val="鮮明引文 字元"/>
    <w:basedOn w:val="a2"/>
    <w:link w:val="afa"/>
    <w:uiPriority w:val="30"/>
    <w:rsid w:val="00FC693F"/>
    <w:rPr>
      <w:b/>
      <w:bCs/>
      <w:i/>
      <w:iCs/>
      <w:color w:val="4F81BD" w:themeColor="accent1"/>
    </w:rPr>
  </w:style>
  <w:style w:type="character" w:styleId="afc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d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e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f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f0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1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2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3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4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5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7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8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9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6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7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8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9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12</Pages>
  <Words>940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6287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王廷威</cp:lastModifiedBy>
  <cp:revision>6</cp:revision>
  <dcterms:created xsi:type="dcterms:W3CDTF">2026-06-17T07:23:00Z</dcterms:created>
  <dcterms:modified xsi:type="dcterms:W3CDTF">2026-06-23T07:40:00Z</dcterms:modified>
  <cp:category/>
</cp:coreProperties>
</file>