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7507B" w14:textId="04094734" w:rsidR="00140F5A" w:rsidRPr="00E00EC0" w:rsidRDefault="000327D0" w:rsidP="00B65AF3">
      <w:pPr>
        <w:snapToGrid w:val="0"/>
        <w:spacing w:line="360" w:lineRule="auto"/>
        <w:jc w:val="center"/>
        <w:outlineLvl w:val="0"/>
        <w:rPr>
          <w:rFonts w:ascii="Times New Roman" w:eastAsia="標楷體" w:hAnsi="Times New Roman" w:cs="Times New Roman"/>
          <w:b/>
          <w:color w:val="000000" w:themeColor="text1"/>
          <w:sz w:val="36"/>
        </w:rPr>
      </w:pPr>
      <w:proofErr w:type="gramStart"/>
      <w:r w:rsidRPr="00E00EC0">
        <w:rPr>
          <w:rFonts w:ascii="Times New Roman" w:eastAsia="標楷體" w:hAnsi="Times New Roman" w:cs="Times New Roman" w:hint="eastAsia"/>
          <w:b/>
          <w:color w:val="000000" w:themeColor="text1"/>
          <w:sz w:val="36"/>
        </w:rPr>
        <w:t>國</w:t>
      </w:r>
      <w:r w:rsidR="00C47F0D" w:rsidRPr="00E00EC0">
        <w:rPr>
          <w:rFonts w:ascii="Times New Roman" w:eastAsia="標楷體" w:hAnsi="Times New Roman" w:cs="Times New Roman" w:hint="eastAsia"/>
          <w:b/>
          <w:color w:val="000000" w:themeColor="text1"/>
          <w:sz w:val="36"/>
        </w:rPr>
        <w:t>際</w:t>
      </w:r>
      <w:r w:rsidRPr="00E00EC0">
        <w:rPr>
          <w:rFonts w:ascii="Times New Roman" w:eastAsia="標楷體" w:hAnsi="Times New Roman" w:cs="Times New Roman" w:hint="eastAsia"/>
          <w:b/>
          <w:color w:val="000000" w:themeColor="text1"/>
          <w:sz w:val="36"/>
        </w:rPr>
        <w:t>氫能</w:t>
      </w:r>
      <w:r w:rsidR="00C47F0D" w:rsidRPr="00E00EC0">
        <w:rPr>
          <w:rFonts w:ascii="Times New Roman" w:eastAsia="標楷體" w:hAnsi="Times New Roman" w:cs="Times New Roman" w:hint="eastAsia"/>
          <w:b/>
          <w:color w:val="000000" w:themeColor="text1"/>
          <w:sz w:val="36"/>
        </w:rPr>
        <w:t>城市</w:t>
      </w:r>
      <w:proofErr w:type="gramEnd"/>
      <w:r w:rsidR="006E3039" w:rsidRPr="00E00EC0">
        <w:rPr>
          <w:rFonts w:ascii="Times New Roman" w:eastAsia="標楷體" w:hAnsi="Times New Roman" w:cs="Times New Roman" w:hint="eastAsia"/>
          <w:b/>
          <w:color w:val="000000" w:themeColor="text1"/>
          <w:sz w:val="36"/>
        </w:rPr>
        <w:t>政策</w:t>
      </w:r>
      <w:r w:rsidR="008E7679" w:rsidRPr="00E00EC0">
        <w:rPr>
          <w:rFonts w:ascii="Times New Roman" w:eastAsia="標楷體" w:hAnsi="Times New Roman" w:cs="Times New Roman" w:hint="eastAsia"/>
          <w:b/>
          <w:color w:val="000000" w:themeColor="text1"/>
          <w:sz w:val="36"/>
        </w:rPr>
        <w:t>發展</w:t>
      </w:r>
      <w:r w:rsidR="006E3039" w:rsidRPr="00E00EC0">
        <w:rPr>
          <w:rFonts w:ascii="Times New Roman" w:eastAsia="標楷體" w:hAnsi="Times New Roman" w:cs="Times New Roman" w:hint="eastAsia"/>
          <w:b/>
          <w:color w:val="000000" w:themeColor="text1"/>
          <w:sz w:val="36"/>
        </w:rPr>
        <w:t>及</w:t>
      </w:r>
      <w:r w:rsidRPr="00E00EC0">
        <w:rPr>
          <w:rFonts w:ascii="Times New Roman" w:eastAsia="標楷體" w:hAnsi="Times New Roman" w:cs="Times New Roman" w:hint="eastAsia"/>
          <w:b/>
          <w:color w:val="000000" w:themeColor="text1"/>
          <w:sz w:val="36"/>
        </w:rPr>
        <w:t>應用</w:t>
      </w:r>
      <w:r w:rsidR="006E3039" w:rsidRPr="00E00EC0">
        <w:rPr>
          <w:rFonts w:ascii="Times New Roman" w:eastAsia="標楷體" w:hAnsi="Times New Roman" w:cs="Times New Roman" w:hint="eastAsia"/>
          <w:b/>
          <w:color w:val="000000" w:themeColor="text1"/>
          <w:sz w:val="36"/>
        </w:rPr>
        <w:t>案例</w:t>
      </w:r>
      <w:proofErr w:type="gramStart"/>
      <w:r w:rsidR="008E7679" w:rsidRPr="00E00EC0">
        <w:rPr>
          <w:rFonts w:ascii="Times New Roman" w:eastAsia="標楷體" w:hAnsi="Times New Roman" w:cs="Times New Roman" w:hint="eastAsia"/>
          <w:b/>
          <w:color w:val="000000" w:themeColor="text1"/>
          <w:sz w:val="36"/>
        </w:rPr>
        <w:t>研</w:t>
      </w:r>
      <w:proofErr w:type="gramEnd"/>
      <w:r w:rsidR="008E7679" w:rsidRPr="00E00EC0">
        <w:rPr>
          <w:rFonts w:ascii="Times New Roman" w:eastAsia="標楷體" w:hAnsi="Times New Roman" w:cs="Times New Roman" w:hint="eastAsia"/>
          <w:b/>
          <w:color w:val="000000" w:themeColor="text1"/>
          <w:sz w:val="36"/>
        </w:rPr>
        <w:t>析</w:t>
      </w:r>
    </w:p>
    <w:p w14:paraId="75371042" w14:textId="77777777" w:rsidR="00223659" w:rsidRPr="00E00EC0" w:rsidRDefault="00223659" w:rsidP="00F61F85">
      <w:pPr>
        <w:snapToGrid w:val="0"/>
        <w:outlineLvl w:val="0"/>
        <w:rPr>
          <w:rFonts w:ascii="Times New Roman" w:eastAsia="標楷體" w:hAnsi="Times New Roman" w:cs="Times New Roman"/>
          <w:color w:val="000000" w:themeColor="text1"/>
          <w:sz w:val="22"/>
        </w:rPr>
      </w:pPr>
    </w:p>
    <w:p w14:paraId="66D60EB0" w14:textId="6E0775E0" w:rsidR="00DD0F9B" w:rsidRPr="00E00EC0" w:rsidRDefault="00C00638" w:rsidP="00C00638">
      <w:pPr>
        <w:pStyle w:val="a3"/>
        <w:numPr>
          <w:ilvl w:val="0"/>
          <w:numId w:val="9"/>
        </w:numPr>
        <w:kinsoku w:val="0"/>
        <w:snapToGrid w:val="0"/>
        <w:spacing w:line="360" w:lineRule="auto"/>
        <w:ind w:leftChars="0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辦理目的</w:t>
      </w:r>
    </w:p>
    <w:p w14:paraId="2F420E3C" w14:textId="0DA384E6" w:rsidR="00C00638" w:rsidRPr="00E00EC0" w:rsidRDefault="00C00638" w:rsidP="00C00638">
      <w:pPr>
        <w:pStyle w:val="a3"/>
        <w:adjustRightInd w:val="0"/>
        <w:snapToGrid w:val="0"/>
        <w:spacing w:line="360" w:lineRule="auto"/>
        <w:ind w:leftChars="350" w:left="84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本研究將綜</w:t>
      </w:r>
      <w:proofErr w:type="gramStart"/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覽</w:t>
      </w:r>
      <w:proofErr w:type="gramEnd"/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及滾動更新國際</w:t>
      </w:r>
      <w:proofErr w:type="gramStart"/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城市氫能發展</w:t>
      </w:r>
      <w:proofErr w:type="gramEnd"/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資訊，聚焦全球各大</w:t>
      </w:r>
      <w:proofErr w:type="gramStart"/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主要氫能發展</w:t>
      </w:r>
      <w:proofErr w:type="gramEnd"/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國家</w:t>
      </w:r>
      <w:r w:rsidR="002467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爬梳各國</w:t>
      </w:r>
      <w:proofErr w:type="gramStart"/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城市氫能推動</w:t>
      </w:r>
      <w:proofErr w:type="gramEnd"/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策略、發展模式，及其不同樣態的</w:t>
      </w:r>
      <w:proofErr w:type="gramStart"/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城市氫能應用</w:t>
      </w:r>
      <w:proofErr w:type="gramEnd"/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的實際案例，諸如住宅區熱電共生、商業區大型發電</w:t>
      </w:r>
      <w:proofErr w:type="gramStart"/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與供熱</w:t>
      </w:r>
      <w:proofErr w:type="gramEnd"/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/</w:t>
      </w:r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暖、</w:t>
      </w:r>
      <w:proofErr w:type="gramStart"/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加氫站基礎</w:t>
      </w:r>
      <w:proofErr w:type="gramEnd"/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設施與都會</w:t>
      </w:r>
      <w:proofErr w:type="gramStart"/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區氫能</w:t>
      </w:r>
      <w:proofErr w:type="gramEnd"/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載具與運輸之各式民用與商業案例，藉由</w:t>
      </w:r>
      <w:proofErr w:type="gramStart"/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釐</w:t>
      </w:r>
      <w:proofErr w:type="gramEnd"/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清不同應用場景與設置情境的差異與可適用性，借鏡國</w:t>
      </w:r>
      <w:r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際城市</w:t>
      </w:r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先行者的實務經驗，了解</w:t>
      </w:r>
      <w:r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其</w:t>
      </w:r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推動效益與執行成效</w:t>
      </w:r>
      <w:r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以茲借鏡</w:t>
      </w:r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</w:p>
    <w:p w14:paraId="3CFE697A" w14:textId="4D09EB39" w:rsidR="00DD0F9B" w:rsidRPr="00E00EC0" w:rsidRDefault="00C00638" w:rsidP="00DD0F9B">
      <w:pPr>
        <w:pStyle w:val="a3"/>
        <w:numPr>
          <w:ilvl w:val="0"/>
          <w:numId w:val="9"/>
        </w:numPr>
        <w:kinsoku w:val="0"/>
        <w:snapToGrid w:val="0"/>
        <w:spacing w:line="360" w:lineRule="auto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執行需求</w:t>
      </w:r>
      <w:r w:rsidR="00DD0F9B" w:rsidRPr="00E00EC0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：</w:t>
      </w:r>
      <w:r w:rsidR="00941724"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</w:p>
    <w:p w14:paraId="07214A9C" w14:textId="555CE2D0" w:rsidR="00E2562B" w:rsidRPr="00E00EC0" w:rsidRDefault="004F2DDF" w:rsidP="001B1C53">
      <w:pPr>
        <w:pStyle w:val="a3"/>
        <w:numPr>
          <w:ilvl w:val="0"/>
          <w:numId w:val="4"/>
        </w:numPr>
        <w:adjustRightInd w:val="0"/>
        <w:snapToGrid w:val="0"/>
        <w:spacing w:line="360" w:lineRule="auto"/>
        <w:ind w:left="837" w:hanging="357"/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</w:pPr>
      <w:proofErr w:type="gramStart"/>
      <w:r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</w:rPr>
        <w:t>研</w:t>
      </w:r>
      <w:proofErr w:type="gramEnd"/>
      <w:r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</w:rPr>
        <w:t>析</w:t>
      </w:r>
      <w:r w:rsidR="00236F08"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</w:rPr>
        <w:t>6</w:t>
      </w:r>
      <w:r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  <w:u w:val="single"/>
        </w:rPr>
        <w:t>個</w:t>
      </w:r>
      <w:proofErr w:type="gramStart"/>
      <w:r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</w:rPr>
        <w:t>國際氫能城市</w:t>
      </w:r>
      <w:proofErr w:type="gramEnd"/>
      <w:r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</w:rPr>
        <w:t>發展現況與</w:t>
      </w:r>
      <w:r w:rsidR="00E5659C"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</w:rPr>
        <w:t>推動作法</w:t>
      </w:r>
    </w:p>
    <w:p w14:paraId="55960802" w14:textId="02AE9659" w:rsidR="00FD746E" w:rsidRPr="000F01EC" w:rsidRDefault="00BA17AE" w:rsidP="00FD746E">
      <w:pPr>
        <w:pStyle w:val="a3"/>
        <w:adjustRightInd w:val="0"/>
        <w:snapToGrid w:val="0"/>
        <w:spacing w:line="360" w:lineRule="auto"/>
        <w:ind w:leftChars="350" w:left="84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深入分析</w:t>
      </w:r>
      <w:proofErr w:type="gramStart"/>
      <w:r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國際氫能城市</w:t>
      </w:r>
      <w:proofErr w:type="gramEnd"/>
      <w:r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</w:t>
      </w:r>
      <w:r w:rsidR="0000446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可</w:t>
      </w:r>
      <w:r w:rsidR="00236F08"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以</w:t>
      </w:r>
      <w:r w:rsidR="00CC5BEE"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日本</w:t>
      </w:r>
      <w:r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、</w:t>
      </w:r>
      <w:r w:rsidR="00CC5BEE"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韓國</w:t>
      </w:r>
      <w:r w:rsidR="00236F08"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、德國代表性城市為標的</w:t>
      </w:r>
      <w:r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）的發展經驗，探討政策支持、基礎設施建設與產業應用模式，梳理推動過程中的法規框架與技術標準</w:t>
      </w:r>
      <w:r w:rsidR="009364A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、</w:t>
      </w:r>
      <w:r w:rsidR="009364AB" w:rsidRPr="000F01EC">
        <w:rPr>
          <w:rFonts w:ascii="Times New Roman" w:eastAsia="標楷體" w:hAnsi="Times New Roman" w:cs="Times New Roman" w:hint="eastAsia"/>
          <w:sz w:val="28"/>
          <w:szCs w:val="28"/>
        </w:rPr>
        <w:t>推動過程面臨的挑戰與</w:t>
      </w:r>
      <w:r w:rsidR="000F01EC" w:rsidRPr="000F01EC">
        <w:rPr>
          <w:rFonts w:ascii="Times New Roman" w:eastAsia="標楷體" w:hAnsi="Times New Roman" w:cs="Times New Roman" w:hint="eastAsia"/>
          <w:sz w:val="28"/>
          <w:szCs w:val="28"/>
        </w:rPr>
        <w:t>因應做法</w:t>
      </w:r>
      <w:r w:rsidR="009364AB" w:rsidRPr="000F01EC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ED7C56" w:rsidRPr="000F01EC">
        <w:rPr>
          <w:rFonts w:ascii="Times New Roman" w:eastAsia="標楷體" w:hAnsi="Times New Roman" w:cs="Times New Roman" w:hint="eastAsia"/>
          <w:sz w:val="28"/>
          <w:szCs w:val="28"/>
        </w:rPr>
        <w:t>以作為工商服務業為主的都會城市</w:t>
      </w:r>
      <w:proofErr w:type="gramStart"/>
      <w:r w:rsidR="00214DEF" w:rsidRPr="000F01EC">
        <w:rPr>
          <w:rFonts w:ascii="Times New Roman" w:eastAsia="標楷體" w:hAnsi="Times New Roman" w:cs="Times New Roman" w:hint="eastAsia"/>
          <w:sz w:val="28"/>
          <w:szCs w:val="28"/>
        </w:rPr>
        <w:t>發展氫能城市</w:t>
      </w:r>
      <w:proofErr w:type="gramEnd"/>
      <w:r w:rsidR="00276ED3" w:rsidRPr="000F01EC">
        <w:rPr>
          <w:rFonts w:ascii="Times New Roman" w:eastAsia="標楷體" w:hAnsi="Times New Roman" w:cs="Times New Roman" w:hint="eastAsia"/>
          <w:sz w:val="28"/>
          <w:szCs w:val="28"/>
        </w:rPr>
        <w:t>政策推動</w:t>
      </w:r>
      <w:r w:rsidR="00214DEF" w:rsidRPr="000F01EC">
        <w:rPr>
          <w:rFonts w:ascii="Times New Roman" w:eastAsia="標楷體" w:hAnsi="Times New Roman" w:cs="Times New Roman" w:hint="eastAsia"/>
          <w:sz w:val="28"/>
          <w:szCs w:val="28"/>
        </w:rPr>
        <w:t>參考</w:t>
      </w:r>
      <w:r w:rsidRPr="000F01EC">
        <w:rPr>
          <w:rFonts w:ascii="Times New Roman" w:eastAsia="標楷體" w:hAnsi="Times New Roman" w:cs="Times New Roman" w:hint="eastAsia"/>
          <w:sz w:val="28"/>
          <w:szCs w:val="28"/>
        </w:rPr>
        <w:t>。研究內容</w:t>
      </w:r>
      <w:proofErr w:type="gramStart"/>
      <w:r w:rsidRPr="000F01EC">
        <w:rPr>
          <w:rFonts w:ascii="Times New Roman" w:eastAsia="標楷體" w:hAnsi="Times New Roman" w:cs="Times New Roman" w:hint="eastAsia"/>
          <w:sz w:val="28"/>
          <w:szCs w:val="28"/>
        </w:rPr>
        <w:t>涵蓋氫能</w:t>
      </w:r>
      <w:r w:rsidR="009364AB" w:rsidRPr="000F01EC">
        <w:rPr>
          <w:rFonts w:ascii="Times New Roman" w:eastAsia="標楷體" w:hAnsi="Times New Roman" w:cs="Times New Roman" w:hint="eastAsia"/>
          <w:sz w:val="28"/>
          <w:szCs w:val="28"/>
        </w:rPr>
        <w:t>政策</w:t>
      </w:r>
      <w:proofErr w:type="gramEnd"/>
      <w:r w:rsidRPr="000F01EC">
        <w:rPr>
          <w:rFonts w:ascii="Times New Roman" w:eastAsia="標楷體" w:hAnsi="Times New Roman" w:cs="Times New Roman" w:hint="eastAsia"/>
          <w:sz w:val="28"/>
          <w:szCs w:val="28"/>
        </w:rPr>
        <w:t>在交通、發電</w:t>
      </w:r>
      <w:r w:rsidR="007E529A" w:rsidRPr="000F01EC">
        <w:rPr>
          <w:rFonts w:ascii="Times New Roman" w:eastAsia="標楷體" w:hAnsi="Times New Roman" w:cs="Times New Roman" w:hint="eastAsia"/>
          <w:sz w:val="28"/>
          <w:szCs w:val="28"/>
        </w:rPr>
        <w:t>與商業服務業</w:t>
      </w:r>
      <w:r w:rsidRPr="000F01EC">
        <w:rPr>
          <w:rFonts w:ascii="Times New Roman" w:eastAsia="標楷體" w:hAnsi="Times New Roman" w:cs="Times New Roman" w:hint="eastAsia"/>
          <w:sz w:val="28"/>
          <w:szCs w:val="28"/>
        </w:rPr>
        <w:t>等領域的</w:t>
      </w:r>
      <w:r w:rsidR="009364AB" w:rsidRPr="000F01EC">
        <w:rPr>
          <w:rFonts w:ascii="Times New Roman" w:eastAsia="標楷體" w:hAnsi="Times New Roman" w:cs="Times New Roman" w:hint="eastAsia"/>
          <w:sz w:val="28"/>
          <w:szCs w:val="28"/>
        </w:rPr>
        <w:t>推動與</w:t>
      </w:r>
      <w:r w:rsidRPr="000F01EC">
        <w:rPr>
          <w:rFonts w:ascii="Times New Roman" w:eastAsia="標楷體" w:hAnsi="Times New Roman" w:cs="Times New Roman" w:hint="eastAsia"/>
          <w:sz w:val="28"/>
          <w:szCs w:val="28"/>
        </w:rPr>
        <w:t>應用效益</w:t>
      </w:r>
      <w:r w:rsidR="000F01EC" w:rsidRPr="000F01EC">
        <w:rPr>
          <w:rFonts w:ascii="Times New Roman" w:eastAsia="標楷體" w:hAnsi="Times New Roman" w:cs="Times New Roman" w:hint="eastAsia"/>
          <w:sz w:val="28"/>
          <w:szCs w:val="28"/>
        </w:rPr>
        <w:t>、補助或補貼機制的成效及財政資源依賴程度</w:t>
      </w:r>
      <w:r w:rsidRPr="000F01EC">
        <w:rPr>
          <w:rFonts w:ascii="Times New Roman" w:eastAsia="標楷體" w:hAnsi="Times New Roman" w:cs="Times New Roman" w:hint="eastAsia"/>
          <w:sz w:val="28"/>
          <w:szCs w:val="28"/>
        </w:rPr>
        <w:t>，評估</w:t>
      </w:r>
      <w:proofErr w:type="gramStart"/>
      <w:r w:rsidR="009364AB" w:rsidRPr="000F01EC">
        <w:rPr>
          <w:rFonts w:ascii="Times New Roman" w:eastAsia="標楷體" w:hAnsi="Times New Roman" w:cs="Times New Roman" w:hint="eastAsia"/>
          <w:sz w:val="28"/>
          <w:szCs w:val="28"/>
        </w:rPr>
        <w:t>其</w:t>
      </w:r>
      <w:r w:rsidRPr="000F01EC">
        <w:rPr>
          <w:rFonts w:ascii="Times New Roman" w:eastAsia="標楷體" w:hAnsi="Times New Roman" w:cs="Times New Roman" w:hint="eastAsia"/>
          <w:sz w:val="28"/>
          <w:szCs w:val="28"/>
        </w:rPr>
        <w:t>氫能</w:t>
      </w:r>
      <w:proofErr w:type="gramEnd"/>
      <w:r w:rsidRPr="000F01EC">
        <w:rPr>
          <w:rFonts w:ascii="Times New Roman" w:eastAsia="標楷體" w:hAnsi="Times New Roman" w:cs="Times New Roman" w:hint="eastAsia"/>
          <w:sz w:val="28"/>
          <w:szCs w:val="28"/>
        </w:rPr>
        <w:t>基礎設施（如加氫站</w:t>
      </w:r>
      <w:r w:rsidR="009364AB" w:rsidRPr="000F01EC">
        <w:rPr>
          <w:rFonts w:ascii="Times New Roman" w:eastAsia="標楷體" w:hAnsi="Times New Roman" w:cs="Times New Roman" w:hint="eastAsia"/>
          <w:sz w:val="28"/>
          <w:szCs w:val="28"/>
        </w:rPr>
        <w:t>）</w:t>
      </w:r>
      <w:r w:rsidRPr="000F01EC">
        <w:rPr>
          <w:rFonts w:ascii="Times New Roman" w:eastAsia="標楷體" w:hAnsi="Times New Roman" w:cs="Times New Roman" w:hint="eastAsia"/>
          <w:sz w:val="28"/>
          <w:szCs w:val="28"/>
        </w:rPr>
        <w:t>與供應鏈的發展現況及未來趨勢</w:t>
      </w:r>
      <w:r w:rsidR="00FD746E" w:rsidRPr="000F01EC">
        <w:rPr>
          <w:rFonts w:ascii="Times New Roman" w:eastAsia="標楷體" w:hAnsi="Times New Roman" w:cs="Times New Roman" w:hint="eastAsia"/>
          <w:sz w:val="28"/>
          <w:szCs w:val="28"/>
        </w:rPr>
        <w:t>，並請分析比較各城市有哪些配套，在初期有哪些共同的準備，及中長期規劃的</w:t>
      </w:r>
      <w:proofErr w:type="gramStart"/>
      <w:r w:rsidR="00FD746E" w:rsidRPr="000F01EC">
        <w:rPr>
          <w:rFonts w:ascii="Times New Roman" w:eastAsia="標楷體" w:hAnsi="Times New Roman" w:cs="Times New Roman" w:hint="eastAsia"/>
          <w:sz w:val="28"/>
          <w:szCs w:val="28"/>
        </w:rPr>
        <w:t>同異處</w:t>
      </w:r>
      <w:proofErr w:type="gramEnd"/>
      <w:r w:rsidR="00FD746E" w:rsidRPr="000F01EC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14:paraId="229D3F8C" w14:textId="18127C3C" w:rsidR="001B1C53" w:rsidRPr="00E00EC0" w:rsidRDefault="001B1C53" w:rsidP="001B1C53">
      <w:pPr>
        <w:pStyle w:val="a3"/>
        <w:numPr>
          <w:ilvl w:val="0"/>
          <w:numId w:val="4"/>
        </w:numPr>
        <w:adjustRightInd w:val="0"/>
        <w:snapToGrid w:val="0"/>
        <w:spacing w:line="360" w:lineRule="auto"/>
        <w:ind w:left="837" w:hanging="357"/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</w:pPr>
      <w:proofErr w:type="gramStart"/>
      <w:r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</w:rPr>
        <w:t>研</w:t>
      </w:r>
      <w:proofErr w:type="gramEnd"/>
      <w:r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</w:rPr>
        <w:t>析</w:t>
      </w:r>
      <w:r w:rsidR="00704AFB"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</w:rPr>
        <w:t>至少</w:t>
      </w:r>
      <w:r w:rsidR="00704AFB"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</w:rPr>
        <w:t>8</w:t>
      </w:r>
      <w:r w:rsidR="00CD789A"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  <w:u w:val="single"/>
        </w:rPr>
        <w:t>案</w:t>
      </w:r>
      <w:r w:rsidR="00BC0F3B"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  <w:u w:val="single"/>
        </w:rPr>
        <w:t xml:space="preserve"> </w:t>
      </w:r>
      <w:proofErr w:type="gramStart"/>
      <w:r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</w:rPr>
        <w:t>氫能燃料</w:t>
      </w:r>
      <w:proofErr w:type="gramEnd"/>
      <w:r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</w:rPr>
        <w:t>電池</w:t>
      </w:r>
      <w:r w:rsidR="008E7679"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</w:rPr>
        <w:t>於城市示範</w:t>
      </w:r>
      <w:r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</w:rPr>
        <w:t>應用案例</w:t>
      </w:r>
    </w:p>
    <w:p w14:paraId="0D58CFC0" w14:textId="0173EE4A" w:rsidR="00853250" w:rsidRDefault="00EB2728" w:rsidP="00FD746E">
      <w:pPr>
        <w:pStyle w:val="a3"/>
        <w:adjustRightInd w:val="0"/>
        <w:snapToGrid w:val="0"/>
        <w:spacing w:line="360" w:lineRule="auto"/>
        <w:ind w:leftChars="350" w:left="84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調查</w:t>
      </w:r>
      <w:proofErr w:type="gramStart"/>
      <w:r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分析氫能燃料</w:t>
      </w:r>
      <w:proofErr w:type="gramEnd"/>
      <w:r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電池應用案例，深入瞭解其設置目的、參與單位、推動策略、營運模式、實際成效及應用過程中衍生的議題，</w:t>
      </w:r>
      <w:r w:rsidR="00ED7C56"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作為工商服務業為主的都會城市</w:t>
      </w:r>
      <w:proofErr w:type="gramStart"/>
      <w:r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發展氫能應用</w:t>
      </w:r>
      <w:proofErr w:type="gramEnd"/>
      <w:r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場域提供參考。</w:t>
      </w:r>
      <w:r w:rsidR="00276ED3"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應包含</w:t>
      </w:r>
      <w:r w:rsidR="00FD746E"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FD746E"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1)</w:t>
      </w:r>
      <w:r w:rsidR="00744875"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定置型燃料電池</w:t>
      </w:r>
      <w:r w:rsidR="008867B8"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提供電力及熱能的應用</w:t>
      </w:r>
      <w:r w:rsidR="00FD746E"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FD746E"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FD746E"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2)</w:t>
      </w:r>
      <w:r w:rsidR="00744875"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載具應用</w:t>
      </w:r>
      <w:r w:rsidR="00FD746E"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，若另有</w:t>
      </w:r>
      <w:r w:rsidR="00223659"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其他</w:t>
      </w:r>
      <w:proofErr w:type="gramStart"/>
      <w:r w:rsidR="00FD746E"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城市氫能創新</w:t>
      </w:r>
      <w:proofErr w:type="gramEnd"/>
      <w:r w:rsidR="00FD746E"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應用案例</w:t>
      </w:r>
      <w:r w:rsidR="0090695F"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，例如低碳發電應用等</w:t>
      </w:r>
      <w:r w:rsidR="00223659"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可茲借鏡，</w:t>
      </w:r>
      <w:r w:rsidR="00FD746E"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則不限於上述兩領域。</w:t>
      </w:r>
    </w:p>
    <w:p w14:paraId="578931E5" w14:textId="77777777" w:rsidR="000F01EC" w:rsidRPr="00E00EC0" w:rsidRDefault="000F01EC" w:rsidP="00FD746E">
      <w:pPr>
        <w:pStyle w:val="a3"/>
        <w:adjustRightInd w:val="0"/>
        <w:snapToGrid w:val="0"/>
        <w:spacing w:line="360" w:lineRule="auto"/>
        <w:ind w:leftChars="350" w:left="84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26623121" w14:textId="7F0F961A" w:rsidR="00E2562B" w:rsidRPr="00E00EC0" w:rsidRDefault="00B65AF3" w:rsidP="001B1C53">
      <w:pPr>
        <w:pStyle w:val="a3"/>
        <w:numPr>
          <w:ilvl w:val="0"/>
          <w:numId w:val="4"/>
        </w:numPr>
        <w:adjustRightInd w:val="0"/>
        <w:snapToGrid w:val="0"/>
        <w:spacing w:line="360" w:lineRule="auto"/>
        <w:ind w:left="840"/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</w:pPr>
      <w:r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</w:rPr>
        <w:t>政策</w:t>
      </w:r>
      <w:proofErr w:type="gramStart"/>
      <w:r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</w:rPr>
        <w:t>研析及</w:t>
      </w:r>
      <w:proofErr w:type="gramEnd"/>
      <w:r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</w:rPr>
        <w:t>諮詢服務</w:t>
      </w:r>
    </w:p>
    <w:p w14:paraId="3B78D718" w14:textId="20BB708C" w:rsidR="003B20B9" w:rsidRPr="00E00EC0" w:rsidRDefault="003B20B9" w:rsidP="001B1C53">
      <w:pPr>
        <w:pStyle w:val="a3"/>
        <w:adjustRightInd w:val="0"/>
        <w:snapToGrid w:val="0"/>
        <w:spacing w:line="360" w:lineRule="auto"/>
        <w:ind w:leftChars="350" w:left="84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lastRenderedPageBreak/>
        <w:t>為配合</w:t>
      </w:r>
      <w:r w:rsidR="00ED7C56"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本院執行</w:t>
      </w:r>
      <w:r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需求，提供</w:t>
      </w:r>
      <w:r w:rsidR="00ED7C56"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臨時</w:t>
      </w:r>
      <w:r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政策</w:t>
      </w:r>
      <w:proofErr w:type="gramStart"/>
      <w:r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研</w:t>
      </w:r>
      <w:proofErr w:type="gramEnd"/>
      <w:r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析與諮詢服務，</w:t>
      </w:r>
      <w:r w:rsidR="00223659"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協助</w:t>
      </w:r>
      <w:r w:rsidR="00ED7C56"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定期或</w:t>
      </w:r>
      <w:r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不定期交辦事項</w:t>
      </w:r>
      <w:r w:rsidR="00FE3D0D" w:rsidRPr="005C2470">
        <w:rPr>
          <w:rFonts w:ascii="Times New Roman" w:eastAsia="標楷體" w:hAnsi="Times New Roman" w:cs="Times New Roman"/>
          <w:sz w:val="28"/>
          <w:szCs w:val="28"/>
        </w:rPr>
        <w:t xml:space="preserve"> 15</w:t>
      </w:r>
      <w:r w:rsidR="00FE3D0D" w:rsidRPr="005C2470">
        <w:rPr>
          <w:rFonts w:ascii="Times New Roman" w:eastAsia="標楷體" w:hAnsi="Times New Roman" w:cs="Times New Roman"/>
          <w:sz w:val="28"/>
          <w:szCs w:val="28"/>
        </w:rPr>
        <w:t>件</w:t>
      </w:r>
      <w:r w:rsidR="00FE3D0D" w:rsidRPr="005C2470">
        <w:rPr>
          <w:rFonts w:ascii="Times New Roman" w:eastAsia="標楷體" w:hAnsi="Times New Roman" w:cs="Times New Roman"/>
          <w:sz w:val="28"/>
          <w:szCs w:val="28"/>
        </w:rPr>
        <w:t>(</w:t>
      </w:r>
      <w:r w:rsidR="00FE3D0D" w:rsidRPr="005C2470">
        <w:rPr>
          <w:rFonts w:ascii="Times New Roman" w:eastAsia="標楷體" w:hAnsi="Times New Roman" w:cs="Times New Roman"/>
          <w:sz w:val="28"/>
          <w:szCs w:val="28"/>
        </w:rPr>
        <w:t>含</w:t>
      </w:r>
      <w:r w:rsidR="00FE3D0D" w:rsidRPr="005C2470">
        <w:rPr>
          <w:rFonts w:ascii="Times New Roman" w:eastAsia="標楷體" w:hAnsi="Times New Roman" w:cs="Times New Roman"/>
          <w:sz w:val="28"/>
          <w:szCs w:val="28"/>
        </w:rPr>
        <w:t>)</w:t>
      </w:r>
      <w:r w:rsidR="00FE3D0D" w:rsidRPr="005C2470">
        <w:rPr>
          <w:rFonts w:ascii="Times New Roman" w:eastAsia="標楷體" w:hAnsi="Times New Roman" w:cs="Times New Roman"/>
          <w:sz w:val="28"/>
          <w:szCs w:val="28"/>
        </w:rPr>
        <w:t>以上</w:t>
      </w:r>
      <w:r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6A2D5078" w14:textId="766841D0" w:rsidR="00E024DD" w:rsidRPr="00E00EC0" w:rsidRDefault="00E024DD" w:rsidP="00E024DD">
      <w:pPr>
        <w:pStyle w:val="a3"/>
        <w:numPr>
          <w:ilvl w:val="0"/>
          <w:numId w:val="4"/>
        </w:numPr>
        <w:adjustRightInd w:val="0"/>
        <w:snapToGrid w:val="0"/>
        <w:spacing w:line="360" w:lineRule="auto"/>
        <w:ind w:left="840"/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</w:pPr>
      <w:proofErr w:type="gramStart"/>
      <w:r w:rsidRPr="00E00EC0"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  <w:t>製作</w:t>
      </w:r>
      <w:r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</w:rPr>
        <w:t>氫能科普</w:t>
      </w:r>
      <w:proofErr w:type="gramEnd"/>
      <w:r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</w:rPr>
        <w:t>及政策</w:t>
      </w:r>
      <w:r w:rsidRPr="00E00EC0"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  <w:t>宣</w:t>
      </w:r>
      <w:r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</w:rPr>
        <w:t>導媒</w:t>
      </w:r>
      <w:r w:rsidRPr="00E00EC0"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  <w:t>材</w:t>
      </w:r>
    </w:p>
    <w:p w14:paraId="0A4CD7C9" w14:textId="5F6EA377" w:rsidR="00E024DD" w:rsidRPr="007E04F5" w:rsidRDefault="00E024DD" w:rsidP="007E04F5">
      <w:pPr>
        <w:pStyle w:val="a3"/>
        <w:adjustRightInd w:val="0"/>
        <w:snapToGrid w:val="0"/>
        <w:spacing w:line="360" w:lineRule="auto"/>
        <w:ind w:leftChars="350" w:left="84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為</w:t>
      </w:r>
      <w:proofErr w:type="gramStart"/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擴大氫能教育</w:t>
      </w:r>
      <w:proofErr w:type="gramEnd"/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之宣傳效益，</w:t>
      </w:r>
      <w:r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以淺顯易懂、貼近市民生活</w:t>
      </w:r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且具教育性之</w:t>
      </w:r>
      <w:proofErr w:type="gramStart"/>
      <w:r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科普</w:t>
      </w:r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氫能知識</w:t>
      </w:r>
      <w:proofErr w:type="gramEnd"/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</w:t>
      </w:r>
      <w:r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結合政策推廣內容，</w:t>
      </w:r>
      <w:proofErr w:type="gramStart"/>
      <w:r w:rsidR="00743311"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製作</w:t>
      </w:r>
      <w:r w:rsidR="00BD4079"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</w:rPr>
        <w:t>氫能科普</w:t>
      </w:r>
      <w:proofErr w:type="gramEnd"/>
      <w:r w:rsidR="00BD4079"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</w:rPr>
        <w:t>及政策</w:t>
      </w:r>
      <w:r w:rsidR="00BD4079" w:rsidRPr="00E00EC0"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  <w:t>宣</w:t>
      </w:r>
      <w:r w:rsidR="00BD4079"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</w:rPr>
        <w:t>導媒</w:t>
      </w:r>
      <w:r w:rsidR="00BD4079" w:rsidRPr="00E00EC0"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  <w:t>材</w:t>
      </w:r>
      <w:r w:rsidR="00BD4079"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</w:rPr>
        <w:t>一式</w:t>
      </w:r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</w:t>
      </w:r>
      <w:r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搭配</w:t>
      </w:r>
      <w:r w:rsidR="00743311"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推廣或</w:t>
      </w:r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教育活動等</w:t>
      </w:r>
      <w:r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場合</w:t>
      </w:r>
      <w:r w:rsidR="00BD4079"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推廣</w:t>
      </w:r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，內容</w:t>
      </w:r>
      <w:r w:rsidR="00743311"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須</w:t>
      </w:r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涵蓋</w:t>
      </w:r>
      <w:proofErr w:type="gramStart"/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如氫能</w:t>
      </w:r>
      <w:proofErr w:type="gramEnd"/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與燃料電池基礎原理</w:t>
      </w:r>
      <w:r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與特性</w:t>
      </w:r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、</w:t>
      </w:r>
      <w:proofErr w:type="gramStart"/>
      <w:r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氫能安全</w:t>
      </w:r>
      <w:proofErr w:type="gramEnd"/>
      <w:r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與環保特色、國際趨勢與在地實踐</w:t>
      </w:r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、</w:t>
      </w:r>
      <w:proofErr w:type="gramStart"/>
      <w:r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臺</w:t>
      </w:r>
      <w:proofErr w:type="gramEnd"/>
      <w:r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北生活應用情境</w:t>
      </w:r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等</w:t>
      </w:r>
      <w:r w:rsidR="00743311"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，以</w:t>
      </w:r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提升民眾</w:t>
      </w:r>
      <w:proofErr w:type="gramStart"/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對氫能</w:t>
      </w:r>
      <w:proofErr w:type="gramEnd"/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的認知與理解，進而促進市民對臺北市推動</w:t>
      </w:r>
      <w:r w:rsidR="00743311"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新能源應用</w:t>
      </w:r>
      <w:proofErr w:type="gramStart"/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及淨零</w:t>
      </w:r>
      <w:r w:rsidR="00743311" w:rsidRPr="00E00EC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政策</w:t>
      </w:r>
      <w:proofErr w:type="gramEnd"/>
      <w:r w:rsidRPr="00E00EC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之支持。</w:t>
      </w:r>
    </w:p>
    <w:p w14:paraId="4A241FA9" w14:textId="78EFF51F" w:rsidR="00E2562B" w:rsidRPr="00E00EC0" w:rsidRDefault="00ED15D6" w:rsidP="007E04F5">
      <w:pPr>
        <w:pStyle w:val="a3"/>
        <w:numPr>
          <w:ilvl w:val="0"/>
          <w:numId w:val="9"/>
        </w:numPr>
        <w:kinsoku w:val="0"/>
        <w:snapToGrid w:val="0"/>
        <w:spacing w:beforeLines="50" w:before="180" w:line="360" w:lineRule="auto"/>
        <w:ind w:leftChars="0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交付</w:t>
      </w:r>
      <w:r w:rsidR="00E2562B" w:rsidRPr="00E00EC0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成果：</w:t>
      </w:r>
    </w:p>
    <w:p w14:paraId="4D5AD9AB" w14:textId="18F8B88B" w:rsidR="007E04F5" w:rsidRPr="007E04F5" w:rsidRDefault="00C00638" w:rsidP="007E04F5">
      <w:pPr>
        <w:pStyle w:val="a3"/>
        <w:kinsoku w:val="0"/>
        <w:snapToGrid w:val="0"/>
        <w:spacing w:line="360" w:lineRule="auto"/>
        <w:ind w:leftChars="0" w:left="720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本案</w:t>
      </w:r>
      <w:r w:rsidRPr="00E00EC0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執行期間至</w:t>
      </w:r>
      <w:r w:rsidRPr="00E00EC0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1</w:t>
      </w:r>
      <w:r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1</w:t>
      </w:r>
      <w:r w:rsidR="005E7543" w:rsidRPr="00E00EC0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5</w:t>
      </w:r>
      <w:r w:rsidRPr="00E00EC0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年</w:t>
      </w:r>
      <w:r w:rsidRPr="00E00EC0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12</w:t>
      </w:r>
      <w:r w:rsidRPr="00E00EC0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月</w:t>
      </w:r>
      <w:r w:rsidR="00A043CC" w:rsidRPr="00E00EC0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25</w:t>
      </w:r>
      <w:r w:rsidRPr="00E00EC0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日止</w:t>
      </w:r>
      <w:r w:rsidR="007E04F5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，於</w:t>
      </w:r>
      <w:r w:rsidR="007E04F5" w:rsidRPr="00E00EC0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1</w:t>
      </w:r>
      <w:r w:rsidR="007E04F5"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1</w:t>
      </w:r>
      <w:r w:rsidR="007E04F5" w:rsidRPr="00E00EC0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5</w:t>
      </w:r>
      <w:r w:rsidR="007E04F5" w:rsidRPr="00E00EC0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年</w:t>
      </w:r>
      <w:r w:rsidR="007E04F5" w:rsidRPr="00E00EC0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1</w:t>
      </w:r>
      <w:r w:rsidR="007E04F5" w:rsidRPr="007E04F5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0</w:t>
      </w:r>
      <w:r w:rsidR="007E04F5" w:rsidRPr="00E00EC0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月</w:t>
      </w:r>
      <w:r w:rsidR="007E04F5" w:rsidRPr="007E04F5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31</w:t>
      </w:r>
      <w:r w:rsidR="007E04F5" w:rsidRPr="00E00EC0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日</w:t>
      </w:r>
      <w:r w:rsidR="007E04F5" w:rsidRPr="007E04F5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交付期末報告</w:t>
      </w:r>
      <w:r w:rsidR="007E04F5" w:rsidRPr="007E04F5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E04F5" w:rsidRPr="007E04F5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初稿，</w:t>
      </w:r>
      <w:r w:rsidR="000C1EB5" w:rsidRPr="007E04F5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執行</w:t>
      </w:r>
      <w:proofErr w:type="gramStart"/>
      <w:r w:rsidR="000C1EB5" w:rsidRPr="007E04F5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期間，</w:t>
      </w:r>
      <w:proofErr w:type="gramEnd"/>
      <w:r w:rsidR="000C1EB5" w:rsidRPr="007E04F5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各研究產出</w:t>
      </w:r>
      <w:r w:rsidR="003B4A8C" w:rsidRPr="007E04F5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所需篇幅及產出</w:t>
      </w:r>
      <w:r w:rsidR="000C1EB5" w:rsidRPr="007E04F5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時間</w:t>
      </w:r>
      <w:r w:rsidR="00733E4C" w:rsidRPr="007E04F5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須</w:t>
      </w:r>
      <w:r w:rsidR="000C1EB5" w:rsidRPr="007E04F5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配合本院需求</w:t>
      </w:r>
      <w:r w:rsidR="00733E4C" w:rsidRPr="007E04F5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，</w:t>
      </w:r>
      <w:r w:rsidR="000C1EB5" w:rsidRPr="007E04F5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另行約定。</w:t>
      </w:r>
    </w:p>
    <w:p w14:paraId="24065042" w14:textId="6B755198" w:rsidR="005806BA" w:rsidRPr="00E00EC0" w:rsidRDefault="005806BA" w:rsidP="007E04F5">
      <w:pPr>
        <w:pStyle w:val="a3"/>
        <w:numPr>
          <w:ilvl w:val="0"/>
          <w:numId w:val="9"/>
        </w:numPr>
        <w:kinsoku w:val="0"/>
        <w:snapToGrid w:val="0"/>
        <w:spacing w:beforeLines="50" w:before="180" w:line="360" w:lineRule="auto"/>
        <w:ind w:leftChars="0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權利之歸屬</w:t>
      </w:r>
      <w:r w:rsidR="007E04F5" w:rsidRPr="00E00EC0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：</w:t>
      </w:r>
    </w:p>
    <w:p w14:paraId="62D9457B" w14:textId="3240BC82" w:rsidR="007E04F5" w:rsidRPr="00E00EC0" w:rsidRDefault="005806BA" w:rsidP="007E04F5">
      <w:pPr>
        <w:adjustRightInd w:val="0"/>
        <w:snapToGrid w:val="0"/>
        <w:spacing w:afterLines="50" w:after="180" w:line="480" w:lineRule="exact"/>
        <w:ind w:leftChars="295" w:left="708" w:firstLine="482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E00EC0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本案研究產出結果，其</w:t>
      </w:r>
      <w:r w:rsidRPr="007E04F5"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28"/>
          <w:szCs w:val="28"/>
        </w:rPr>
        <w:t>智慧財產權歸本院所有</w:t>
      </w:r>
      <w:r w:rsidRPr="00E00EC0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，承攬廠商因履約所使用之</w:t>
      </w:r>
      <w:r w:rsidRPr="007E04F5"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28"/>
          <w:szCs w:val="28"/>
        </w:rPr>
        <w:t>內容如涉及第三人權利時，由承攬廠商負責解決</w:t>
      </w:r>
      <w:r w:rsidRPr="00E00EC0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；另本院並得追究其責任。</w:t>
      </w:r>
    </w:p>
    <w:p w14:paraId="6DDB90AB" w14:textId="6BB36529" w:rsidR="00DF43EC" w:rsidRPr="00E00EC0" w:rsidRDefault="003C7669" w:rsidP="00DF43EC">
      <w:pPr>
        <w:pStyle w:val="a3"/>
        <w:numPr>
          <w:ilvl w:val="0"/>
          <w:numId w:val="9"/>
        </w:numPr>
        <w:kinsoku w:val="0"/>
        <w:snapToGrid w:val="0"/>
        <w:spacing w:line="360" w:lineRule="auto"/>
        <w:ind w:leftChars="0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E00EC0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付款</w:t>
      </w:r>
      <w:r w:rsidR="005806BA" w:rsidRPr="00E00EC0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條件</w:t>
      </w:r>
      <w:r w:rsidRPr="00E00EC0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：</w:t>
      </w:r>
      <w:r w:rsidR="000C1EB5" w:rsidRPr="00E00EC0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14:paraId="7C1FEE25" w14:textId="2C5582A3" w:rsidR="00481705" w:rsidRPr="007E04F5" w:rsidRDefault="0058555A" w:rsidP="007E04F5">
      <w:pPr>
        <w:adjustRightInd w:val="0"/>
        <w:snapToGrid w:val="0"/>
        <w:spacing w:afterLines="50" w:after="180" w:line="480" w:lineRule="exact"/>
        <w:ind w:leftChars="295" w:left="708" w:firstLine="482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7E04F5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本案</w:t>
      </w:r>
      <w:r w:rsidR="007D6D21" w:rsidRPr="007E04F5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於</w:t>
      </w:r>
      <w:r w:rsidR="007E04F5" w:rsidRPr="007E04F5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8"/>
          <w:szCs w:val="28"/>
        </w:rPr>
        <w:t>1</w:t>
      </w:r>
      <w:r w:rsidR="007E04F5" w:rsidRPr="007E04F5"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28"/>
          <w:szCs w:val="28"/>
        </w:rPr>
        <w:t>1</w:t>
      </w:r>
      <w:r w:rsidR="007E04F5" w:rsidRPr="007E04F5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8"/>
          <w:szCs w:val="28"/>
        </w:rPr>
        <w:t>5</w:t>
      </w:r>
      <w:r w:rsidR="007E04F5" w:rsidRPr="007E04F5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8"/>
          <w:szCs w:val="28"/>
        </w:rPr>
        <w:t>年</w:t>
      </w:r>
      <w:r w:rsidR="007E04F5" w:rsidRPr="007E04F5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8"/>
          <w:szCs w:val="28"/>
        </w:rPr>
        <w:t>1</w:t>
      </w:r>
      <w:r w:rsidR="007E04F5" w:rsidRPr="007E04F5"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 w:val="28"/>
          <w:szCs w:val="28"/>
        </w:rPr>
        <w:t>0</w:t>
      </w:r>
      <w:r w:rsidR="007E04F5" w:rsidRPr="007E04F5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8"/>
          <w:szCs w:val="28"/>
        </w:rPr>
        <w:t>月</w:t>
      </w:r>
      <w:r w:rsidR="007E04F5" w:rsidRPr="007E04F5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8"/>
          <w:szCs w:val="28"/>
        </w:rPr>
        <w:t>31</w:t>
      </w:r>
      <w:r w:rsidR="007E04F5" w:rsidRPr="007E04F5">
        <w:rPr>
          <w:rFonts w:ascii="Times New Roman" w:eastAsia="標楷體" w:hAnsi="Times New Roman" w:cs="Times New Roman"/>
          <w:b/>
          <w:bCs/>
          <w:color w:val="000000" w:themeColor="text1"/>
          <w:kern w:val="0"/>
          <w:sz w:val="28"/>
          <w:szCs w:val="28"/>
        </w:rPr>
        <w:t>日</w:t>
      </w:r>
      <w:r w:rsidR="007D6D21" w:rsidRPr="007E04F5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交付期末報告</w:t>
      </w:r>
      <w:r w:rsidR="007D6D21" w:rsidRPr="007E04F5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驗收</w:t>
      </w:r>
      <w:r w:rsidR="007D6D21" w:rsidRPr="007E04F5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核</w:t>
      </w:r>
      <w:r w:rsidR="007D6D21" w:rsidRPr="007E04F5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可後</w:t>
      </w:r>
      <w:r w:rsidR="007D6D21" w:rsidRPr="007E04F5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(</w:t>
      </w:r>
      <w:r w:rsidR="007D6D21" w:rsidRPr="007E04F5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含提供相關約定資料、檔案</w:t>
      </w:r>
      <w:r w:rsidR="007D6D21" w:rsidRPr="007E04F5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)</w:t>
      </w:r>
      <w:r w:rsidR="007D6D21" w:rsidRPr="007E04F5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，本院審查確認無誤後，由本院支付</w:t>
      </w:r>
      <w:r w:rsidR="000625C0" w:rsidRPr="007E04F5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全額契約價金</w:t>
      </w:r>
      <w:r w:rsidR="007D6D21" w:rsidRPr="007E04F5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款項。</w:t>
      </w:r>
    </w:p>
    <w:sectPr w:rsidR="00481705" w:rsidRPr="007E04F5" w:rsidSect="00481705">
      <w:footerReference w:type="default" r:id="rId8"/>
      <w:pgSz w:w="11906" w:h="16838"/>
      <w:pgMar w:top="1134" w:right="1077" w:bottom="1134" w:left="1077" w:header="851" w:footer="65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AF688" w14:textId="77777777" w:rsidR="001E2916" w:rsidRDefault="001E2916" w:rsidP="00E2562B">
      <w:r>
        <w:separator/>
      </w:r>
    </w:p>
  </w:endnote>
  <w:endnote w:type="continuationSeparator" w:id="0">
    <w:p w14:paraId="22508BDD" w14:textId="77777777" w:rsidR="001E2916" w:rsidRDefault="001E2916" w:rsidP="00E25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2036598"/>
      <w:docPartObj>
        <w:docPartGallery w:val="Page Numbers (Bottom of Page)"/>
        <w:docPartUnique/>
      </w:docPartObj>
    </w:sdtPr>
    <w:sdtEndPr>
      <w:rPr>
        <w:rFonts w:ascii="Times New Roman" w:eastAsia="標楷體" w:hAnsi="Times New Roman" w:cs="Times New Roman"/>
        <w:sz w:val="24"/>
        <w:szCs w:val="24"/>
      </w:rPr>
    </w:sdtEndPr>
    <w:sdtContent>
      <w:p w14:paraId="7A6EDB83" w14:textId="754DCE82" w:rsidR="00E2562B" w:rsidRPr="00E2562B" w:rsidRDefault="00E2562B" w:rsidP="00E2562B">
        <w:pPr>
          <w:pStyle w:val="a6"/>
          <w:jc w:val="center"/>
          <w:rPr>
            <w:rFonts w:ascii="Times New Roman" w:eastAsia="標楷體" w:hAnsi="Times New Roman" w:cs="Times New Roman"/>
            <w:sz w:val="24"/>
            <w:szCs w:val="24"/>
          </w:rPr>
        </w:pPr>
        <w:r w:rsidRPr="00E2562B">
          <w:rPr>
            <w:rFonts w:ascii="Times New Roman" w:eastAsia="標楷體" w:hAnsi="Times New Roman" w:cs="Times New Roman"/>
            <w:sz w:val="24"/>
            <w:szCs w:val="24"/>
          </w:rPr>
          <w:t>第</w:t>
        </w:r>
        <w:r w:rsidRPr="00E2562B">
          <w:rPr>
            <w:rFonts w:ascii="Times New Roman" w:eastAsia="標楷體" w:hAnsi="Times New Roman" w:cs="Times New Roman"/>
            <w:sz w:val="24"/>
            <w:szCs w:val="24"/>
          </w:rPr>
          <w:fldChar w:fldCharType="begin"/>
        </w:r>
        <w:r w:rsidRPr="00E2562B">
          <w:rPr>
            <w:rFonts w:ascii="Times New Roman" w:eastAsia="標楷體" w:hAnsi="Times New Roman" w:cs="Times New Roman"/>
            <w:sz w:val="24"/>
            <w:szCs w:val="24"/>
          </w:rPr>
          <w:instrText>PAGE   \* MERGEFORMAT</w:instrText>
        </w:r>
        <w:r w:rsidRPr="00E2562B">
          <w:rPr>
            <w:rFonts w:ascii="Times New Roman" w:eastAsia="標楷體" w:hAnsi="Times New Roman" w:cs="Times New Roman"/>
            <w:sz w:val="24"/>
            <w:szCs w:val="24"/>
          </w:rPr>
          <w:fldChar w:fldCharType="separate"/>
        </w:r>
        <w:r w:rsidR="00900018" w:rsidRPr="00900018">
          <w:rPr>
            <w:rFonts w:ascii="Times New Roman" w:eastAsia="標楷體" w:hAnsi="Times New Roman" w:cs="Times New Roman"/>
            <w:noProof/>
            <w:sz w:val="24"/>
            <w:szCs w:val="24"/>
            <w:lang w:val="zh-TW"/>
          </w:rPr>
          <w:t>3</w:t>
        </w:r>
        <w:r w:rsidRPr="00E2562B">
          <w:rPr>
            <w:rFonts w:ascii="Times New Roman" w:eastAsia="標楷體" w:hAnsi="Times New Roman" w:cs="Times New Roman"/>
            <w:sz w:val="24"/>
            <w:szCs w:val="24"/>
          </w:rPr>
          <w:fldChar w:fldCharType="end"/>
        </w:r>
        <w:r w:rsidRPr="00E2562B">
          <w:rPr>
            <w:rFonts w:ascii="Times New Roman" w:eastAsia="標楷體" w:hAnsi="Times New Roman" w:cs="Times New Roman"/>
            <w:sz w:val="24"/>
            <w:szCs w:val="24"/>
          </w:rPr>
          <w:t>頁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17170" w14:textId="77777777" w:rsidR="001E2916" w:rsidRDefault="001E2916" w:rsidP="00E2562B">
      <w:r>
        <w:separator/>
      </w:r>
    </w:p>
  </w:footnote>
  <w:footnote w:type="continuationSeparator" w:id="0">
    <w:p w14:paraId="6B03D39D" w14:textId="77777777" w:rsidR="001E2916" w:rsidRDefault="001E2916" w:rsidP="00E256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65B4F"/>
    <w:multiLevelType w:val="hybridMultilevel"/>
    <w:tmpl w:val="6A526740"/>
    <w:lvl w:ilvl="0" w:tplc="91A4B55A">
      <w:start w:val="1"/>
      <w:numFmt w:val="bullet"/>
      <w:lvlText w:val="−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124FEE"/>
    <w:multiLevelType w:val="hybridMultilevel"/>
    <w:tmpl w:val="F38E327A"/>
    <w:lvl w:ilvl="0" w:tplc="91A4B55A">
      <w:start w:val="1"/>
      <w:numFmt w:val="bullet"/>
      <w:lvlText w:val="−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F637CEB"/>
    <w:multiLevelType w:val="hybridMultilevel"/>
    <w:tmpl w:val="2D347600"/>
    <w:lvl w:ilvl="0" w:tplc="04090011">
      <w:start w:val="1"/>
      <w:numFmt w:val="upperLetter"/>
      <w:lvlText w:val="%1.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3" w15:restartNumberingAfterBreak="0">
    <w:nsid w:val="1D3E1516"/>
    <w:multiLevelType w:val="hybridMultilevel"/>
    <w:tmpl w:val="2ED29AC0"/>
    <w:lvl w:ilvl="0" w:tplc="04090001">
      <w:start w:val="1"/>
      <w:numFmt w:val="bullet"/>
      <w:lvlText w:val=""/>
      <w:lvlJc w:val="left"/>
      <w:pPr>
        <w:ind w:left="131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9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7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5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3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1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9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7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58" w:hanging="480"/>
      </w:pPr>
      <w:rPr>
        <w:rFonts w:ascii="Wingdings" w:hAnsi="Wingdings" w:hint="default"/>
      </w:rPr>
    </w:lvl>
  </w:abstractNum>
  <w:abstractNum w:abstractNumId="4" w15:restartNumberingAfterBreak="0">
    <w:nsid w:val="1D6C7695"/>
    <w:multiLevelType w:val="hybridMultilevel"/>
    <w:tmpl w:val="FF5625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1116DB"/>
    <w:multiLevelType w:val="hybridMultilevel"/>
    <w:tmpl w:val="E9C84DAC"/>
    <w:lvl w:ilvl="0" w:tplc="C56EBA42">
      <w:start w:val="1"/>
      <w:numFmt w:val="taiwaneseCountingThousand"/>
      <w:lvlText w:val="%1、"/>
      <w:lvlJc w:val="left"/>
      <w:pPr>
        <w:ind w:left="720" w:hanging="720"/>
      </w:pPr>
      <w:rPr>
        <w:rFonts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44E094A"/>
    <w:multiLevelType w:val="hybridMultilevel"/>
    <w:tmpl w:val="BCA82A6A"/>
    <w:lvl w:ilvl="0" w:tplc="7BA4BEC4">
      <w:start w:val="1"/>
      <w:numFmt w:val="decimal"/>
      <w:lvlText w:val="%1."/>
      <w:lvlJc w:val="left"/>
      <w:pPr>
        <w:ind w:left="840" w:hanging="360"/>
      </w:pPr>
      <w:rPr>
        <w:rFonts w:hint="default"/>
        <w:strike w:val="0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2D887204"/>
    <w:multiLevelType w:val="hybridMultilevel"/>
    <w:tmpl w:val="5FDAC22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31D2F4C"/>
    <w:multiLevelType w:val="hybridMultilevel"/>
    <w:tmpl w:val="53124F8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B061592"/>
    <w:multiLevelType w:val="hybridMultilevel"/>
    <w:tmpl w:val="7EE4629A"/>
    <w:lvl w:ilvl="0" w:tplc="0409000F">
      <w:start w:val="1"/>
      <w:numFmt w:val="decimal"/>
      <w:lvlText w:val="%1."/>
      <w:lvlJc w:val="left"/>
      <w:pPr>
        <w:ind w:left="5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9" w:hanging="480"/>
      </w:pPr>
    </w:lvl>
    <w:lvl w:ilvl="2" w:tplc="0409001B" w:tentative="1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10" w15:restartNumberingAfterBreak="0">
    <w:nsid w:val="545E5BBA"/>
    <w:multiLevelType w:val="hybridMultilevel"/>
    <w:tmpl w:val="1248D302"/>
    <w:lvl w:ilvl="0" w:tplc="FFFFFFFF">
      <w:start w:val="1"/>
      <w:numFmt w:val="decimal"/>
      <w:lvlText w:val="(%1)"/>
      <w:lvlJc w:val="left"/>
      <w:pPr>
        <w:ind w:left="120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800" w:hanging="480"/>
      </w:pPr>
    </w:lvl>
    <w:lvl w:ilvl="2" w:tplc="FFFFFFFF" w:tentative="1">
      <w:start w:val="1"/>
      <w:numFmt w:val="lowerRoman"/>
      <w:lvlText w:val="%3."/>
      <w:lvlJc w:val="right"/>
      <w:pPr>
        <w:ind w:left="2280" w:hanging="480"/>
      </w:pPr>
    </w:lvl>
    <w:lvl w:ilvl="3" w:tplc="FFFFFFFF" w:tentative="1">
      <w:start w:val="1"/>
      <w:numFmt w:val="decimal"/>
      <w:lvlText w:val="%4."/>
      <w:lvlJc w:val="left"/>
      <w:pPr>
        <w:ind w:left="276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240" w:hanging="480"/>
      </w:pPr>
    </w:lvl>
    <w:lvl w:ilvl="5" w:tplc="FFFFFFFF" w:tentative="1">
      <w:start w:val="1"/>
      <w:numFmt w:val="lowerRoman"/>
      <w:lvlText w:val="%6."/>
      <w:lvlJc w:val="right"/>
      <w:pPr>
        <w:ind w:left="3720" w:hanging="480"/>
      </w:pPr>
    </w:lvl>
    <w:lvl w:ilvl="6" w:tplc="FFFFFFFF" w:tentative="1">
      <w:start w:val="1"/>
      <w:numFmt w:val="decimal"/>
      <w:lvlText w:val="%7."/>
      <w:lvlJc w:val="left"/>
      <w:pPr>
        <w:ind w:left="420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80" w:hanging="480"/>
      </w:pPr>
    </w:lvl>
    <w:lvl w:ilvl="8" w:tplc="FFFFFFFF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1" w15:restartNumberingAfterBreak="0">
    <w:nsid w:val="558D3B21"/>
    <w:multiLevelType w:val="hybridMultilevel"/>
    <w:tmpl w:val="313A0D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87F5A81"/>
    <w:multiLevelType w:val="hybridMultilevel"/>
    <w:tmpl w:val="276A6B4E"/>
    <w:lvl w:ilvl="0" w:tplc="89CCD7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9414B07"/>
    <w:multiLevelType w:val="hybridMultilevel"/>
    <w:tmpl w:val="D15683BE"/>
    <w:lvl w:ilvl="0" w:tplc="D8F6E4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C016C76"/>
    <w:multiLevelType w:val="hybridMultilevel"/>
    <w:tmpl w:val="16F04AB4"/>
    <w:lvl w:ilvl="0" w:tplc="9F6EE896">
      <w:start w:val="1"/>
      <w:numFmt w:val="decimal"/>
      <w:lvlText w:val="(%1)"/>
      <w:lvlJc w:val="left"/>
      <w:pPr>
        <w:ind w:left="1200" w:hanging="360"/>
      </w:pPr>
      <w:rPr>
        <w:rFonts w:hint="default"/>
      </w:rPr>
    </w:lvl>
    <w:lvl w:ilvl="1" w:tplc="04090011">
      <w:start w:val="1"/>
      <w:numFmt w:val="upperLetter"/>
      <w:lvlText w:val="%2.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5" w15:restartNumberingAfterBreak="0">
    <w:nsid w:val="605A1B73"/>
    <w:multiLevelType w:val="hybridMultilevel"/>
    <w:tmpl w:val="1248D302"/>
    <w:lvl w:ilvl="0" w:tplc="395C011C">
      <w:start w:val="1"/>
      <w:numFmt w:val="decimal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6" w15:restartNumberingAfterBreak="0">
    <w:nsid w:val="62A9483C"/>
    <w:multiLevelType w:val="hybridMultilevel"/>
    <w:tmpl w:val="4EFA3CAA"/>
    <w:lvl w:ilvl="0" w:tplc="F716B1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DE359A0"/>
    <w:multiLevelType w:val="hybridMultilevel"/>
    <w:tmpl w:val="34167CF2"/>
    <w:lvl w:ilvl="0" w:tplc="04090001">
      <w:start w:val="1"/>
      <w:numFmt w:val="bullet"/>
      <w:lvlText w:val=""/>
      <w:lvlJc w:val="left"/>
      <w:pPr>
        <w:ind w:left="131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9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7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5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3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1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9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7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58" w:hanging="480"/>
      </w:pPr>
      <w:rPr>
        <w:rFonts w:ascii="Wingdings" w:hAnsi="Wingdings" w:hint="default"/>
      </w:rPr>
    </w:lvl>
  </w:abstractNum>
  <w:abstractNum w:abstractNumId="18" w15:restartNumberingAfterBreak="0">
    <w:nsid w:val="75E473AC"/>
    <w:multiLevelType w:val="hybridMultilevel"/>
    <w:tmpl w:val="15408466"/>
    <w:lvl w:ilvl="0" w:tplc="91A4B55A">
      <w:start w:val="1"/>
      <w:numFmt w:val="bullet"/>
      <w:lvlText w:val="−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757602541">
    <w:abstractNumId w:val="18"/>
  </w:num>
  <w:num w:numId="2" w16cid:durableId="1257516610">
    <w:abstractNumId w:val="0"/>
  </w:num>
  <w:num w:numId="3" w16cid:durableId="499199158">
    <w:abstractNumId w:val="1"/>
  </w:num>
  <w:num w:numId="4" w16cid:durableId="26608515">
    <w:abstractNumId w:val="12"/>
  </w:num>
  <w:num w:numId="5" w16cid:durableId="1003242359">
    <w:abstractNumId w:val="16"/>
  </w:num>
  <w:num w:numId="6" w16cid:durableId="1708489236">
    <w:abstractNumId w:val="13"/>
  </w:num>
  <w:num w:numId="7" w16cid:durableId="1789201639">
    <w:abstractNumId w:val="17"/>
  </w:num>
  <w:num w:numId="8" w16cid:durableId="779372306">
    <w:abstractNumId w:val="3"/>
  </w:num>
  <w:num w:numId="9" w16cid:durableId="1998221607">
    <w:abstractNumId w:val="5"/>
  </w:num>
  <w:num w:numId="10" w16cid:durableId="406195835">
    <w:abstractNumId w:val="4"/>
  </w:num>
  <w:num w:numId="11" w16cid:durableId="2008970073">
    <w:abstractNumId w:val="11"/>
  </w:num>
  <w:num w:numId="12" w16cid:durableId="2141803871">
    <w:abstractNumId w:val="6"/>
  </w:num>
  <w:num w:numId="13" w16cid:durableId="1050491931">
    <w:abstractNumId w:val="15"/>
  </w:num>
  <w:num w:numId="14" w16cid:durableId="32972062">
    <w:abstractNumId w:val="10"/>
  </w:num>
  <w:num w:numId="15" w16cid:durableId="484858254">
    <w:abstractNumId w:val="14"/>
  </w:num>
  <w:num w:numId="16" w16cid:durableId="1579244882">
    <w:abstractNumId w:val="2"/>
  </w:num>
  <w:num w:numId="17" w16cid:durableId="424110961">
    <w:abstractNumId w:val="9"/>
  </w:num>
  <w:num w:numId="18" w16cid:durableId="1220896925">
    <w:abstractNumId w:val="8"/>
  </w:num>
  <w:num w:numId="19" w16cid:durableId="112526937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396"/>
    <w:rsid w:val="0000446B"/>
    <w:rsid w:val="0001022B"/>
    <w:rsid w:val="00020608"/>
    <w:rsid w:val="000327D0"/>
    <w:rsid w:val="000354AE"/>
    <w:rsid w:val="000556C7"/>
    <w:rsid w:val="000625C0"/>
    <w:rsid w:val="00074E60"/>
    <w:rsid w:val="0008354E"/>
    <w:rsid w:val="000C1EB5"/>
    <w:rsid w:val="000D264B"/>
    <w:rsid w:val="000E1501"/>
    <w:rsid w:val="000F01EC"/>
    <w:rsid w:val="001020F1"/>
    <w:rsid w:val="00140F5A"/>
    <w:rsid w:val="0015643D"/>
    <w:rsid w:val="00174C44"/>
    <w:rsid w:val="00191BDA"/>
    <w:rsid w:val="001B1C53"/>
    <w:rsid w:val="001E2916"/>
    <w:rsid w:val="00214DEF"/>
    <w:rsid w:val="00223659"/>
    <w:rsid w:val="00236F08"/>
    <w:rsid w:val="00237DCF"/>
    <w:rsid w:val="002467A2"/>
    <w:rsid w:val="00276ED3"/>
    <w:rsid w:val="002776B8"/>
    <w:rsid w:val="002873A9"/>
    <w:rsid w:val="00291364"/>
    <w:rsid w:val="002C08CB"/>
    <w:rsid w:val="002C277C"/>
    <w:rsid w:val="002D50BD"/>
    <w:rsid w:val="002D6E63"/>
    <w:rsid w:val="003222E8"/>
    <w:rsid w:val="00371DC4"/>
    <w:rsid w:val="00381E06"/>
    <w:rsid w:val="00383BEB"/>
    <w:rsid w:val="003A3CDE"/>
    <w:rsid w:val="003B20B9"/>
    <w:rsid w:val="003B4A8C"/>
    <w:rsid w:val="003C7669"/>
    <w:rsid w:val="004010C9"/>
    <w:rsid w:val="00426F58"/>
    <w:rsid w:val="0043065F"/>
    <w:rsid w:val="00437B21"/>
    <w:rsid w:val="00437FB4"/>
    <w:rsid w:val="00481705"/>
    <w:rsid w:val="0048286D"/>
    <w:rsid w:val="004943EF"/>
    <w:rsid w:val="004D4C55"/>
    <w:rsid w:val="004D55DE"/>
    <w:rsid w:val="004E3632"/>
    <w:rsid w:val="004F2DDF"/>
    <w:rsid w:val="004F5873"/>
    <w:rsid w:val="004F5FC6"/>
    <w:rsid w:val="00547B4C"/>
    <w:rsid w:val="00554315"/>
    <w:rsid w:val="00560448"/>
    <w:rsid w:val="00563A14"/>
    <w:rsid w:val="005806BA"/>
    <w:rsid w:val="0058555A"/>
    <w:rsid w:val="005A5DBE"/>
    <w:rsid w:val="005B14B4"/>
    <w:rsid w:val="005E0675"/>
    <w:rsid w:val="005E7543"/>
    <w:rsid w:val="0060073A"/>
    <w:rsid w:val="0069498F"/>
    <w:rsid w:val="006B4E2A"/>
    <w:rsid w:val="006E3039"/>
    <w:rsid w:val="006F6829"/>
    <w:rsid w:val="00704AFB"/>
    <w:rsid w:val="00714D2C"/>
    <w:rsid w:val="00733E4C"/>
    <w:rsid w:val="00743311"/>
    <w:rsid w:val="00744875"/>
    <w:rsid w:val="00765B93"/>
    <w:rsid w:val="00774F23"/>
    <w:rsid w:val="00784BE6"/>
    <w:rsid w:val="0079377F"/>
    <w:rsid w:val="007D6D21"/>
    <w:rsid w:val="007E04F5"/>
    <w:rsid w:val="007E529A"/>
    <w:rsid w:val="007E6D54"/>
    <w:rsid w:val="00800652"/>
    <w:rsid w:val="0081376B"/>
    <w:rsid w:val="0082211E"/>
    <w:rsid w:val="00846783"/>
    <w:rsid w:val="00853250"/>
    <w:rsid w:val="008533CF"/>
    <w:rsid w:val="00865147"/>
    <w:rsid w:val="00874993"/>
    <w:rsid w:val="008867B8"/>
    <w:rsid w:val="008E7679"/>
    <w:rsid w:val="008F1EC3"/>
    <w:rsid w:val="008F5656"/>
    <w:rsid w:val="00900018"/>
    <w:rsid w:val="0090695F"/>
    <w:rsid w:val="009355E0"/>
    <w:rsid w:val="009364AB"/>
    <w:rsid w:val="00941724"/>
    <w:rsid w:val="009564B3"/>
    <w:rsid w:val="00956FD3"/>
    <w:rsid w:val="009E0E14"/>
    <w:rsid w:val="00A043CC"/>
    <w:rsid w:val="00A36D59"/>
    <w:rsid w:val="00A90C76"/>
    <w:rsid w:val="00AD651C"/>
    <w:rsid w:val="00B32D2F"/>
    <w:rsid w:val="00B3588D"/>
    <w:rsid w:val="00B403E9"/>
    <w:rsid w:val="00B64F55"/>
    <w:rsid w:val="00B65AF3"/>
    <w:rsid w:val="00B9331F"/>
    <w:rsid w:val="00BA17AE"/>
    <w:rsid w:val="00BB11E0"/>
    <w:rsid w:val="00BC0F3B"/>
    <w:rsid w:val="00BC518D"/>
    <w:rsid w:val="00BD4079"/>
    <w:rsid w:val="00BE1C91"/>
    <w:rsid w:val="00BE655B"/>
    <w:rsid w:val="00BF57B2"/>
    <w:rsid w:val="00C00638"/>
    <w:rsid w:val="00C33123"/>
    <w:rsid w:val="00C47F0D"/>
    <w:rsid w:val="00C57396"/>
    <w:rsid w:val="00C77C91"/>
    <w:rsid w:val="00C820C3"/>
    <w:rsid w:val="00C951D0"/>
    <w:rsid w:val="00CA06E0"/>
    <w:rsid w:val="00CA41B4"/>
    <w:rsid w:val="00CA6322"/>
    <w:rsid w:val="00CC5BEE"/>
    <w:rsid w:val="00CD310A"/>
    <w:rsid w:val="00CD789A"/>
    <w:rsid w:val="00CE3915"/>
    <w:rsid w:val="00D1208C"/>
    <w:rsid w:val="00D749E1"/>
    <w:rsid w:val="00D90758"/>
    <w:rsid w:val="00DA4534"/>
    <w:rsid w:val="00DD0F9B"/>
    <w:rsid w:val="00DD37FB"/>
    <w:rsid w:val="00DD7538"/>
    <w:rsid w:val="00DE11D2"/>
    <w:rsid w:val="00DE242D"/>
    <w:rsid w:val="00DF43EC"/>
    <w:rsid w:val="00E00EC0"/>
    <w:rsid w:val="00E024DD"/>
    <w:rsid w:val="00E10F74"/>
    <w:rsid w:val="00E2562B"/>
    <w:rsid w:val="00E31779"/>
    <w:rsid w:val="00E542CF"/>
    <w:rsid w:val="00E5659C"/>
    <w:rsid w:val="00E732BE"/>
    <w:rsid w:val="00E875E9"/>
    <w:rsid w:val="00EA467C"/>
    <w:rsid w:val="00EB2728"/>
    <w:rsid w:val="00EB769D"/>
    <w:rsid w:val="00EC04E1"/>
    <w:rsid w:val="00EC4C84"/>
    <w:rsid w:val="00ED15D6"/>
    <w:rsid w:val="00ED7C56"/>
    <w:rsid w:val="00F14ECF"/>
    <w:rsid w:val="00F30AD2"/>
    <w:rsid w:val="00F55AD3"/>
    <w:rsid w:val="00F614C5"/>
    <w:rsid w:val="00F61F85"/>
    <w:rsid w:val="00F7039F"/>
    <w:rsid w:val="00FB4C8E"/>
    <w:rsid w:val="00FD746E"/>
    <w:rsid w:val="00FE1EF4"/>
    <w:rsid w:val="00FE3D0D"/>
    <w:rsid w:val="00FF2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1E51E6"/>
  <w15:docId w15:val="{E0167BCF-536F-4D5E-8E3E-C6F3F8D47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73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739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256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2562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256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2562B"/>
    <w:rPr>
      <w:sz w:val="20"/>
      <w:szCs w:val="20"/>
    </w:rPr>
  </w:style>
  <w:style w:type="paragraph" w:customStyle="1" w:styleId="1111">
    <w:name w:val="1.1.1.1內容"/>
    <w:basedOn w:val="a"/>
    <w:link w:val="11110"/>
    <w:qFormat/>
    <w:rsid w:val="005806BA"/>
    <w:pPr>
      <w:widowControl/>
      <w:spacing w:after="240" w:line="440" w:lineRule="exact"/>
      <w:ind w:left="709" w:right="41" w:firstLine="567"/>
      <w:jc w:val="both"/>
    </w:pPr>
    <w:rPr>
      <w:rFonts w:ascii="Times New Roman" w:eastAsia="標楷體" w:hAnsi="標楷體" w:cs="Times New Roman"/>
      <w:spacing w:val="10"/>
      <w:kern w:val="0"/>
      <w:sz w:val="28"/>
      <w:szCs w:val="28"/>
    </w:rPr>
  </w:style>
  <w:style w:type="character" w:customStyle="1" w:styleId="11110">
    <w:name w:val="1.1.1.1內容 字元"/>
    <w:basedOn w:val="a0"/>
    <w:link w:val="1111"/>
    <w:rsid w:val="005806BA"/>
    <w:rPr>
      <w:rFonts w:ascii="Times New Roman" w:eastAsia="標楷體" w:hAnsi="標楷體" w:cs="Times New Roman"/>
      <w:spacing w:val="10"/>
      <w:kern w:val="0"/>
      <w:sz w:val="28"/>
      <w:szCs w:val="28"/>
    </w:rPr>
  </w:style>
  <w:style w:type="paragraph" w:customStyle="1" w:styleId="a8">
    <w:name w:val="報告壹＋一內文"/>
    <w:basedOn w:val="a"/>
    <w:rsid w:val="00E024DD"/>
    <w:pPr>
      <w:widowControl/>
      <w:adjustRightInd w:val="0"/>
      <w:snapToGrid w:val="0"/>
      <w:spacing w:line="360" w:lineRule="auto"/>
      <w:ind w:left="480"/>
      <w:jc w:val="both"/>
    </w:pPr>
    <w:rPr>
      <w:rFonts w:ascii="Times New Roman" w:eastAsia="標楷體" w:hAnsi="Times New Roman" w:cs="Times New Roman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774262-C3AA-4113-871A-8A23950EA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167</Words>
  <Characters>953</Characters>
  <Application>Microsoft Office Word</Application>
  <DocSecurity>0</DocSecurity>
  <Lines>7</Lines>
  <Paragraphs>2</Paragraphs>
  <ScaleCrop>false</ScaleCrop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林永杰</dc:creator>
  <cp:keywords/>
  <dc:description/>
  <cp:lastModifiedBy>林宜婷</cp:lastModifiedBy>
  <cp:revision>2</cp:revision>
  <cp:lastPrinted>2026-05-08T04:02:00Z</cp:lastPrinted>
  <dcterms:created xsi:type="dcterms:W3CDTF">2026-05-12T02:46:00Z</dcterms:created>
  <dcterms:modified xsi:type="dcterms:W3CDTF">2026-05-12T02:46:00Z</dcterms:modified>
</cp:coreProperties>
</file>