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57378" w14:textId="4D7D4FB4" w:rsidR="001231E2" w:rsidRPr="005F0A45" w:rsidRDefault="00AC7A6A" w:rsidP="00AB06E3">
      <w:pPr>
        <w:jc w:val="center"/>
        <w:rPr>
          <w:rFonts w:ascii="微軟正黑體" w:eastAsia="微軟正黑體" w:hAnsi="微軟正黑體"/>
          <w:sz w:val="28"/>
          <w:szCs w:val="28"/>
        </w:rPr>
      </w:pPr>
      <w:r w:rsidRPr="005F0A45">
        <w:rPr>
          <w:rFonts w:ascii="微軟正黑體" w:eastAsia="微軟正黑體" w:hAnsi="微軟正黑體" w:hint="eastAsia"/>
          <w:sz w:val="28"/>
          <w:szCs w:val="28"/>
        </w:rPr>
        <w:t>委託真空鍍膜自動吊掛機器人模組平台整合</w:t>
      </w:r>
    </w:p>
    <w:p w14:paraId="220AECB1" w14:textId="2E39B19E" w:rsidR="005F0A45" w:rsidRPr="005F0A45" w:rsidRDefault="005F0A45" w:rsidP="005F0A45">
      <w:pPr>
        <w:rPr>
          <w:rFonts w:ascii="微軟正黑體" w:eastAsia="微軟正黑體" w:hAnsi="微軟正黑體"/>
          <w:b/>
          <w:bCs/>
          <w:sz w:val="20"/>
          <w:szCs w:val="20"/>
        </w:rPr>
      </w:pPr>
      <w:r w:rsidRPr="005F0A45">
        <w:rPr>
          <w:rFonts w:ascii="微軟正黑體" w:eastAsia="微軟正黑體" w:hAnsi="微軟正黑體" w:hint="eastAsia"/>
          <w:b/>
          <w:bCs/>
          <w:sz w:val="20"/>
          <w:szCs w:val="20"/>
        </w:rPr>
        <w:t>1.整合目標:</w:t>
      </w:r>
    </w:p>
    <w:p w14:paraId="153AF3F3" w14:textId="77777777" w:rsidR="005F0A45" w:rsidRPr="005F0A45" w:rsidRDefault="005F0A45" w:rsidP="005F0A45">
      <w:pPr>
        <w:rPr>
          <w:rFonts w:ascii="微軟正黑體" w:eastAsia="微軟正黑體" w:hAnsi="微軟正黑體" w:cs="Times New Roman" w:hint="eastAsia"/>
          <w:bCs/>
          <w:sz w:val="20"/>
          <w:szCs w:val="20"/>
        </w:rPr>
      </w:pPr>
      <w:proofErr w:type="gramStart"/>
      <w:r w:rsidRPr="005F0A45">
        <w:rPr>
          <w:rFonts w:ascii="微軟正黑體" w:eastAsia="微軟正黑體" w:hAnsi="微軟正黑體" w:cs="Times New Roman" w:hint="eastAsia"/>
          <w:bCs/>
          <w:sz w:val="20"/>
          <w:szCs w:val="20"/>
        </w:rPr>
        <w:t>•</w:t>
      </w:r>
      <w:proofErr w:type="gramEnd"/>
      <w:r w:rsidRPr="005F0A45">
        <w:rPr>
          <w:rFonts w:ascii="微軟正黑體" w:eastAsia="微軟正黑體" w:hAnsi="微軟正黑體" w:cs="Times New Roman" w:hint="eastAsia"/>
          <w:bCs/>
          <w:sz w:val="20"/>
          <w:szCs w:val="20"/>
        </w:rPr>
        <w:tab/>
        <w:t>完成機械手臂、</w:t>
      </w:r>
      <w:proofErr w:type="gramStart"/>
      <w:r w:rsidRPr="005F0A45">
        <w:rPr>
          <w:rFonts w:ascii="微軟正黑體" w:eastAsia="微軟正黑體" w:hAnsi="微軟正黑體" w:cs="Times New Roman" w:hint="eastAsia"/>
          <w:bCs/>
          <w:sz w:val="20"/>
          <w:szCs w:val="20"/>
        </w:rPr>
        <w:t>夾爪</w:t>
      </w:r>
      <w:proofErr w:type="gramEnd"/>
      <w:r w:rsidRPr="005F0A45">
        <w:rPr>
          <w:rFonts w:ascii="微軟正黑體" w:eastAsia="微軟正黑體" w:hAnsi="微軟正黑體" w:cs="Times New Roman" w:hint="eastAsia"/>
          <w:bCs/>
          <w:sz w:val="20"/>
          <w:szCs w:val="20"/>
        </w:rPr>
        <w:t>、基座、</w:t>
      </w:r>
      <w:proofErr w:type="gramStart"/>
      <w:r w:rsidRPr="005F0A45">
        <w:rPr>
          <w:rFonts w:ascii="微軟正黑體" w:eastAsia="微軟正黑體" w:hAnsi="微軟正黑體" w:cs="Times New Roman" w:hint="eastAsia"/>
          <w:bCs/>
          <w:sz w:val="20"/>
          <w:szCs w:val="20"/>
        </w:rPr>
        <w:t>工件料架與</w:t>
      </w:r>
      <w:proofErr w:type="gramEnd"/>
      <w:r w:rsidRPr="005F0A45">
        <w:rPr>
          <w:rFonts w:ascii="微軟正黑體" w:eastAsia="微軟正黑體" w:hAnsi="微軟正黑體" w:cs="Times New Roman" w:hint="eastAsia"/>
          <w:bCs/>
          <w:sz w:val="20"/>
          <w:szCs w:val="20"/>
        </w:rPr>
        <w:t>周邊感測模組之整合配置。</w:t>
      </w:r>
    </w:p>
    <w:p w14:paraId="11AD6548" w14:textId="77777777" w:rsidR="005F0A45" w:rsidRPr="005F0A45" w:rsidRDefault="005F0A45" w:rsidP="005F0A45">
      <w:pPr>
        <w:rPr>
          <w:rFonts w:ascii="微軟正黑體" w:eastAsia="微軟正黑體" w:hAnsi="微軟正黑體" w:cs="Times New Roman" w:hint="eastAsia"/>
          <w:bCs/>
          <w:sz w:val="20"/>
          <w:szCs w:val="20"/>
        </w:rPr>
      </w:pPr>
      <w:proofErr w:type="gramStart"/>
      <w:r w:rsidRPr="005F0A45">
        <w:rPr>
          <w:rFonts w:ascii="微軟正黑體" w:eastAsia="微軟正黑體" w:hAnsi="微軟正黑體" w:cs="Times New Roman" w:hint="eastAsia"/>
          <w:bCs/>
          <w:sz w:val="20"/>
          <w:szCs w:val="20"/>
        </w:rPr>
        <w:t>•</w:t>
      </w:r>
      <w:proofErr w:type="gramEnd"/>
      <w:r w:rsidRPr="005F0A45">
        <w:rPr>
          <w:rFonts w:ascii="微軟正黑體" w:eastAsia="微軟正黑體" w:hAnsi="微軟正黑體" w:cs="Times New Roman" w:hint="eastAsia"/>
          <w:bCs/>
          <w:sz w:val="20"/>
          <w:szCs w:val="20"/>
        </w:rPr>
        <w:tab/>
        <w:t>建立視覺與雷射感測之訊號串接、參數設定、檢測範圍規劃與資料紀錄方式。</w:t>
      </w:r>
    </w:p>
    <w:p w14:paraId="441330E1" w14:textId="77777777" w:rsidR="005F0A45" w:rsidRPr="005F0A45" w:rsidRDefault="005F0A45" w:rsidP="005F0A45">
      <w:pPr>
        <w:rPr>
          <w:rFonts w:ascii="微軟正黑體" w:eastAsia="微軟正黑體" w:hAnsi="微軟正黑體" w:cs="Times New Roman" w:hint="eastAsia"/>
          <w:bCs/>
          <w:sz w:val="20"/>
          <w:szCs w:val="20"/>
        </w:rPr>
      </w:pPr>
      <w:proofErr w:type="gramStart"/>
      <w:r w:rsidRPr="005F0A45">
        <w:rPr>
          <w:rFonts w:ascii="微軟正黑體" w:eastAsia="微軟正黑體" w:hAnsi="微軟正黑體" w:cs="Times New Roman" w:hint="eastAsia"/>
          <w:bCs/>
          <w:sz w:val="20"/>
          <w:szCs w:val="20"/>
        </w:rPr>
        <w:t>•</w:t>
      </w:r>
      <w:proofErr w:type="gramEnd"/>
      <w:r w:rsidRPr="005F0A45">
        <w:rPr>
          <w:rFonts w:ascii="微軟正黑體" w:eastAsia="微軟正黑體" w:hAnsi="微軟正黑體" w:cs="Times New Roman" w:hint="eastAsia"/>
          <w:bCs/>
          <w:sz w:val="20"/>
          <w:szCs w:val="20"/>
        </w:rPr>
        <w:tab/>
        <w:t>完成機械手臂與 PLC I/O、控制箱及周邊設備之訊號交握，支援基本自動吊掛流程。</w:t>
      </w:r>
    </w:p>
    <w:p w14:paraId="5164679D" w14:textId="2F470AA5" w:rsidR="005F0A45" w:rsidRPr="005F0A45" w:rsidRDefault="005F0A45" w:rsidP="005F0A45">
      <w:pPr>
        <w:rPr>
          <w:rFonts w:ascii="微軟正黑體" w:eastAsia="微軟正黑體" w:hAnsi="微軟正黑體" w:cs="Times New Roman"/>
          <w:bCs/>
          <w:sz w:val="20"/>
          <w:szCs w:val="20"/>
        </w:rPr>
      </w:pPr>
      <w:proofErr w:type="gramStart"/>
      <w:r w:rsidRPr="005F0A45">
        <w:rPr>
          <w:rFonts w:ascii="微軟正黑體" w:eastAsia="微軟正黑體" w:hAnsi="微軟正黑體" w:cs="Times New Roman" w:hint="eastAsia"/>
          <w:bCs/>
          <w:sz w:val="20"/>
          <w:szCs w:val="20"/>
        </w:rPr>
        <w:t>•</w:t>
      </w:r>
      <w:proofErr w:type="gramEnd"/>
      <w:r w:rsidRPr="005F0A45">
        <w:rPr>
          <w:rFonts w:ascii="微軟正黑體" w:eastAsia="微軟正黑體" w:hAnsi="微軟正黑體" w:cs="Times New Roman" w:hint="eastAsia"/>
          <w:bCs/>
          <w:sz w:val="20"/>
          <w:szCs w:val="20"/>
        </w:rPr>
        <w:tab/>
        <w:t>配合工研院進行客製化任務開發、功能測試與驗收紀錄，使系統具備後續擴充與應用展示能力。</w:t>
      </w:r>
    </w:p>
    <w:p w14:paraId="51C98E1D" w14:textId="77777777" w:rsidR="005F0A45" w:rsidRPr="005F0A45" w:rsidRDefault="005F0A45" w:rsidP="005F0A45">
      <w:pPr>
        <w:rPr>
          <w:rFonts w:ascii="微軟正黑體" w:eastAsia="微軟正黑體" w:hAnsi="微軟正黑體" w:cs="Times New Roman"/>
          <w:bCs/>
          <w:sz w:val="20"/>
          <w:szCs w:val="20"/>
        </w:rPr>
      </w:pPr>
    </w:p>
    <w:p w14:paraId="4B5431E6" w14:textId="39A424D0" w:rsidR="005F0A45" w:rsidRPr="005F0A45" w:rsidRDefault="005F0A45" w:rsidP="005F0A45">
      <w:pPr>
        <w:rPr>
          <w:rFonts w:ascii="微軟正黑體" w:eastAsia="微軟正黑體" w:hAnsi="微軟正黑體" w:hint="eastAsia"/>
          <w:b/>
          <w:bCs/>
          <w:sz w:val="20"/>
          <w:szCs w:val="20"/>
        </w:rPr>
      </w:pPr>
      <w:r w:rsidRPr="005F0A45">
        <w:rPr>
          <w:rFonts w:ascii="微軟正黑體" w:eastAsia="微軟正黑體" w:hAnsi="微軟正黑體" w:hint="eastAsia"/>
          <w:b/>
          <w:bCs/>
          <w:sz w:val="20"/>
          <w:szCs w:val="20"/>
        </w:rPr>
        <w:t>2.</w:t>
      </w:r>
      <w:r w:rsidRPr="005F0A45">
        <w:rPr>
          <w:rFonts w:ascii="微軟正黑體" w:eastAsia="微軟正黑體" w:hAnsi="微軟正黑體"/>
          <w:b/>
          <w:bCs/>
          <w:sz w:val="20"/>
          <w:szCs w:val="20"/>
        </w:rPr>
        <w:t xml:space="preserve"> </w:t>
      </w:r>
      <w:r w:rsidRPr="005F0A45">
        <w:rPr>
          <w:rFonts w:ascii="微軟正黑體" w:eastAsia="微軟正黑體" w:hAnsi="微軟正黑體"/>
          <w:b/>
          <w:bCs/>
          <w:sz w:val="20"/>
          <w:szCs w:val="20"/>
        </w:rPr>
        <w:t>委託工作項目與內容</w:t>
      </w:r>
      <w:r w:rsidRPr="005F0A45">
        <w:rPr>
          <w:rFonts w:ascii="微軟正黑體" w:eastAsia="微軟正黑體" w:hAnsi="微軟正黑體" w:hint="eastAsia"/>
          <w:b/>
          <w:bCs/>
          <w:sz w:val="20"/>
          <w:szCs w:val="20"/>
        </w:rPr>
        <w:t>:</w:t>
      </w:r>
    </w:p>
    <w:tbl>
      <w:tblPr>
        <w:tblStyle w:val="a8"/>
        <w:tblW w:w="0" w:type="auto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260"/>
        <w:gridCol w:w="3402"/>
        <w:gridCol w:w="2552"/>
      </w:tblGrid>
      <w:tr w:rsidR="005F0A45" w:rsidRPr="005F0A45" w14:paraId="7F340A4B" w14:textId="77777777" w:rsidTr="005F0A45">
        <w:trPr>
          <w:cantSplit/>
          <w:tblHeader/>
          <w:jc w:val="center"/>
        </w:trPr>
        <w:tc>
          <w:tcPr>
            <w:tcW w:w="1701" w:type="dxa"/>
            <w:shd w:val="clear" w:color="auto" w:fill="D9EAF7"/>
          </w:tcPr>
          <w:p w14:paraId="3108A6AA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b/>
                <w:sz w:val="20"/>
                <w:szCs w:val="20"/>
              </w:rPr>
              <w:t>工作項目</w:t>
            </w:r>
          </w:p>
        </w:tc>
        <w:tc>
          <w:tcPr>
            <w:tcW w:w="2260" w:type="dxa"/>
            <w:shd w:val="clear" w:color="auto" w:fill="D9EAF7"/>
          </w:tcPr>
          <w:p w14:paraId="33EE8979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b/>
                <w:sz w:val="20"/>
                <w:szCs w:val="20"/>
              </w:rPr>
              <w:t>委託內容</w:t>
            </w:r>
          </w:p>
        </w:tc>
        <w:tc>
          <w:tcPr>
            <w:tcW w:w="3402" w:type="dxa"/>
            <w:shd w:val="clear" w:color="auto" w:fill="D9EAF7"/>
          </w:tcPr>
          <w:p w14:paraId="611CA5E5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b/>
                <w:sz w:val="20"/>
                <w:szCs w:val="20"/>
              </w:rPr>
              <w:t>主要執行重點</w:t>
            </w:r>
          </w:p>
        </w:tc>
        <w:tc>
          <w:tcPr>
            <w:tcW w:w="2552" w:type="dxa"/>
            <w:shd w:val="clear" w:color="auto" w:fill="D9EAF7"/>
          </w:tcPr>
          <w:p w14:paraId="23153236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b/>
                <w:sz w:val="20"/>
                <w:szCs w:val="20"/>
              </w:rPr>
              <w:t>交付成果與驗收重點</w:t>
            </w:r>
          </w:p>
        </w:tc>
      </w:tr>
      <w:tr w:rsidR="005F0A45" w:rsidRPr="005F0A45" w14:paraId="031BC2F4" w14:textId="77777777" w:rsidTr="005F0A45">
        <w:trPr>
          <w:cantSplit/>
          <w:jc w:val="center"/>
        </w:trPr>
        <w:tc>
          <w:tcPr>
            <w:tcW w:w="1701" w:type="dxa"/>
          </w:tcPr>
          <w:p w14:paraId="0A7BE6CC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機械手臂模組</w:t>
            </w:r>
          </w:p>
        </w:tc>
        <w:tc>
          <w:tcPr>
            <w:tcW w:w="2260" w:type="dxa"/>
          </w:tcPr>
          <w:p w14:paraId="4E51C3DA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支援日系品牌機械手臂，例如 FANUC，並依真空鍍膜工件尺寸、重量、吊掛姿態與作業範圍進行整體配置。</w:t>
            </w:r>
          </w:p>
        </w:tc>
        <w:tc>
          <w:tcPr>
            <w:tcW w:w="3402" w:type="dxa"/>
          </w:tcPr>
          <w:p w14:paraId="31D34E53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1. 評估機械手臂可達範圍、負載能力與作業節拍。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2. 設計或協助</w:t>
            </w:r>
            <w:proofErr w:type="gramStart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調整夾爪</w:t>
            </w:r>
            <w:proofErr w:type="gramEnd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、基座、</w:t>
            </w:r>
            <w:proofErr w:type="gramStart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工件料架及</w:t>
            </w:r>
            <w:proofErr w:type="gramEnd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必要轉</w:t>
            </w:r>
            <w:proofErr w:type="gramStart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接治具</w:t>
            </w:r>
            <w:proofErr w:type="gramEnd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3. 確認工件取放、吊掛、定位及</w:t>
            </w:r>
            <w:proofErr w:type="gramStart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安全避</w:t>
            </w:r>
            <w:proofErr w:type="gramEnd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讓空間。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4. 配合現場配置提出安裝及整合建議。</w:t>
            </w:r>
          </w:p>
        </w:tc>
        <w:tc>
          <w:tcPr>
            <w:tcW w:w="2552" w:type="dxa"/>
          </w:tcPr>
          <w:p w14:paraId="12708E9C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1. 機械手臂與周邊機構配置說明。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 xml:space="preserve">2. </w:t>
            </w:r>
            <w:proofErr w:type="gramStart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夾爪</w:t>
            </w:r>
            <w:proofErr w:type="gramEnd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、基座、</w:t>
            </w:r>
            <w:proofErr w:type="gramStart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工件料架設計</w:t>
            </w:r>
            <w:proofErr w:type="gramEnd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資料或組裝說明。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3. 具備基本取放及吊掛動作測試能力。</w:t>
            </w:r>
          </w:p>
        </w:tc>
      </w:tr>
      <w:tr w:rsidR="005F0A45" w:rsidRPr="005F0A45" w14:paraId="356FA064" w14:textId="77777777" w:rsidTr="005F0A45">
        <w:trPr>
          <w:cantSplit/>
          <w:jc w:val="center"/>
        </w:trPr>
        <w:tc>
          <w:tcPr>
            <w:tcW w:w="1701" w:type="dxa"/>
          </w:tcPr>
          <w:p w14:paraId="5B12BAAB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視覺感測模組</w:t>
            </w:r>
          </w:p>
        </w:tc>
        <w:tc>
          <w:tcPr>
            <w:tcW w:w="2260" w:type="dxa"/>
          </w:tcPr>
          <w:p w14:paraId="78901C85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整合 2D 視覺相機，串接機械手臂控制箱，建立視覺設定檔與任務工具設定。</w:t>
            </w:r>
          </w:p>
        </w:tc>
        <w:tc>
          <w:tcPr>
            <w:tcW w:w="3402" w:type="dxa"/>
          </w:tcPr>
          <w:p w14:paraId="4BA30876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1. 完成相機安裝位置、視野範圍及固定方式確認。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2. 設定相機設定檔、Vision Process 工具、Vision Tools 與 Application Setup Tools。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3. 建立工件辨識、定位輔助、特徵檢測或狀態確認流程。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4. 配合工研院進行影像參數調整、測試與紀錄。</w:t>
            </w:r>
          </w:p>
        </w:tc>
        <w:tc>
          <w:tcPr>
            <w:tcW w:w="2552" w:type="dxa"/>
          </w:tcPr>
          <w:p w14:paraId="4888714E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1. 視覺相機整合完成。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2. 完成至少四種視覺感測工具設定。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3. 提供視覺設定檔、測試畫面或操作紀錄。</w:t>
            </w:r>
          </w:p>
        </w:tc>
      </w:tr>
      <w:tr w:rsidR="005F0A45" w:rsidRPr="005F0A45" w14:paraId="3F681B28" w14:textId="77777777" w:rsidTr="005F0A45">
        <w:trPr>
          <w:cantSplit/>
          <w:jc w:val="center"/>
        </w:trPr>
        <w:tc>
          <w:tcPr>
            <w:tcW w:w="1701" w:type="dxa"/>
          </w:tcPr>
          <w:p w14:paraId="1668FB1E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雷射感測模組</w:t>
            </w:r>
          </w:p>
        </w:tc>
        <w:tc>
          <w:tcPr>
            <w:tcW w:w="2260" w:type="dxa"/>
          </w:tcPr>
          <w:p w14:paraId="547658C2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整合雷射感測</w:t>
            </w:r>
            <w:proofErr w:type="gramStart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模組並串接</w:t>
            </w:r>
            <w:proofErr w:type="gramEnd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 xml:space="preserve"> PLC I/O，透過 UI 介面設定輸入、輸出及檢測條件。</w:t>
            </w:r>
          </w:p>
        </w:tc>
        <w:tc>
          <w:tcPr>
            <w:tcW w:w="3402" w:type="dxa"/>
          </w:tcPr>
          <w:p w14:paraId="5B37E06B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1. 完成雷射感測器安裝、訊號線路與 PLC I/O 串接。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2. 可透過 UI 設定輸入／輸出相關過濾器。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3. 支援矩形、圓形、segment 等檢測範圍設定，以符合周邊環境與工件輪廓。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4. 支援參數紀錄、檢測數據保存與圖表輸出。</w:t>
            </w:r>
          </w:p>
        </w:tc>
        <w:tc>
          <w:tcPr>
            <w:tcW w:w="2552" w:type="dxa"/>
          </w:tcPr>
          <w:p w14:paraId="09A94FD4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1. 雷射感測模組完成連線與訊號測試。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2. 可完成指定檢測區域設定。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3. 可輸出測試資料、參數紀錄或圖表結果。</w:t>
            </w:r>
          </w:p>
        </w:tc>
      </w:tr>
      <w:tr w:rsidR="005F0A45" w:rsidRPr="005F0A45" w14:paraId="774BC70C" w14:textId="77777777" w:rsidTr="005F0A45">
        <w:trPr>
          <w:cantSplit/>
          <w:jc w:val="center"/>
        </w:trPr>
        <w:tc>
          <w:tcPr>
            <w:tcW w:w="1701" w:type="dxa"/>
          </w:tcPr>
          <w:p w14:paraId="17E6AEA4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電控與通訊介面整合</w:t>
            </w:r>
          </w:p>
        </w:tc>
        <w:tc>
          <w:tcPr>
            <w:tcW w:w="2260" w:type="dxa"/>
          </w:tcPr>
          <w:p w14:paraId="07C68CA5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配合系統需求完成機械手臂、PLC、感測器、</w:t>
            </w:r>
            <w:proofErr w:type="gramStart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控制箱與周邊</w:t>
            </w:r>
            <w:proofErr w:type="gramEnd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設備之訊號</w:t>
            </w:r>
            <w:proofErr w:type="gramStart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交握與狀態</w:t>
            </w:r>
            <w:proofErr w:type="gramEnd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確認。</w:t>
            </w:r>
          </w:p>
        </w:tc>
        <w:tc>
          <w:tcPr>
            <w:tcW w:w="3402" w:type="dxa"/>
          </w:tcPr>
          <w:p w14:paraId="670E38DB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1. 定義必要 I/O 點位、控制訊號、狀態回饋與異常訊號。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2. 協助完成訊號線路整理、接線確認及功能測試。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3. 支援自動／手動模式切換、</w:t>
            </w:r>
            <w:proofErr w:type="gramStart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啟停條件</w:t>
            </w:r>
            <w:proofErr w:type="gramEnd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與基本安全邏輯。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4. 建立電控整合測試紀錄，利於後續維護。</w:t>
            </w:r>
          </w:p>
        </w:tc>
        <w:tc>
          <w:tcPr>
            <w:tcW w:w="2552" w:type="dxa"/>
          </w:tcPr>
          <w:p w14:paraId="27A81C20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 xml:space="preserve">1. I/O </w:t>
            </w:r>
            <w:proofErr w:type="gramStart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點位表或</w:t>
            </w:r>
            <w:proofErr w:type="gramEnd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訊號定義資料。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 xml:space="preserve">2. </w:t>
            </w:r>
            <w:proofErr w:type="gramStart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控制箱與周邊</w:t>
            </w:r>
            <w:proofErr w:type="gramEnd"/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設備接線確認。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3. 完成主要交握訊號測試。</w:t>
            </w:r>
          </w:p>
        </w:tc>
      </w:tr>
      <w:tr w:rsidR="005F0A45" w:rsidRPr="005F0A45" w14:paraId="46084061" w14:textId="77777777" w:rsidTr="005F0A45">
        <w:trPr>
          <w:cantSplit/>
          <w:jc w:val="center"/>
        </w:trPr>
        <w:tc>
          <w:tcPr>
            <w:tcW w:w="1701" w:type="dxa"/>
          </w:tcPr>
          <w:p w14:paraId="312005E1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自動吊掛流程驗證</w:t>
            </w:r>
          </w:p>
        </w:tc>
        <w:tc>
          <w:tcPr>
            <w:tcW w:w="2260" w:type="dxa"/>
          </w:tcPr>
          <w:p w14:paraId="348E5F95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配合工研院同仁進行實際功能驗證與測試，確認模組平台可執行預定自動化流程。</w:t>
            </w:r>
          </w:p>
        </w:tc>
        <w:tc>
          <w:tcPr>
            <w:tcW w:w="3402" w:type="dxa"/>
          </w:tcPr>
          <w:p w14:paraId="54F59E9C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1. 進行工件取放、吊掛、定位、感測確認與流程復歸測試。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2. 依測試結果調整機構、參數或流程設定。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3. 協助建立測試條件、測試步驟與結果紀錄。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4. 針對異常狀況提出改善建議。</w:t>
            </w:r>
          </w:p>
        </w:tc>
        <w:tc>
          <w:tcPr>
            <w:tcW w:w="2552" w:type="dxa"/>
          </w:tcPr>
          <w:p w14:paraId="6DD2AB73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1. 完成整合功能測試。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2. 提供測試紀錄與異常改善說明。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3. 經工研院確認後作為驗收依據。</w:t>
            </w:r>
          </w:p>
        </w:tc>
      </w:tr>
      <w:tr w:rsidR="005F0A45" w:rsidRPr="005F0A45" w14:paraId="01B3BB98" w14:textId="77777777" w:rsidTr="005F0A45">
        <w:trPr>
          <w:cantSplit/>
          <w:jc w:val="center"/>
        </w:trPr>
        <w:tc>
          <w:tcPr>
            <w:tcW w:w="1701" w:type="dxa"/>
          </w:tcPr>
          <w:p w14:paraId="459AAEC4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客製化任務開發</w:t>
            </w:r>
          </w:p>
        </w:tc>
        <w:tc>
          <w:tcPr>
            <w:tcW w:w="2260" w:type="dxa"/>
          </w:tcPr>
          <w:p w14:paraId="5A2F73C3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配合工研院同仁開發客製化功能，並依實際應用需求進行測試與調整。</w:t>
            </w:r>
          </w:p>
        </w:tc>
        <w:tc>
          <w:tcPr>
            <w:tcW w:w="3402" w:type="dxa"/>
          </w:tcPr>
          <w:p w14:paraId="6978E285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1. 依工件形式、作業節拍與應用情境調整任務流程。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2. 支援參數化設定、流程步驟調整或簡易操作介面需求。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3. 協助測試不同工件或不同吊掛條件下之穩定性。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4. 配合工研院完成展示或驗證所需功能。</w:t>
            </w:r>
          </w:p>
        </w:tc>
        <w:tc>
          <w:tcPr>
            <w:tcW w:w="2552" w:type="dxa"/>
          </w:tcPr>
          <w:p w14:paraId="5D96EA9F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1. 完成客製化任務流程設定。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2. 提供操作說明、設定檔或測試紀錄。</w:t>
            </w:r>
            <w:r w:rsidRPr="005F0A45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Pr="005F0A45">
              <w:rPr>
                <w:rFonts w:ascii="微軟正黑體" w:eastAsia="微軟正黑體" w:hAnsi="微軟正黑體" w:cs="Noto Sans CJK TC"/>
                <w:sz w:val="20"/>
                <w:szCs w:val="20"/>
              </w:rPr>
              <w:t>3. 功能經工研院測試確認。</w:t>
            </w:r>
          </w:p>
        </w:tc>
      </w:tr>
    </w:tbl>
    <w:p w14:paraId="60C19605" w14:textId="77777777" w:rsidR="005F0A45" w:rsidRPr="005F0A45" w:rsidRDefault="005F0A45" w:rsidP="005F0A45">
      <w:pPr>
        <w:rPr>
          <w:rFonts w:ascii="微軟正黑體" w:eastAsia="微軟正黑體" w:hAnsi="微軟正黑體"/>
          <w:b/>
          <w:bCs/>
          <w:sz w:val="20"/>
          <w:szCs w:val="20"/>
        </w:rPr>
      </w:pPr>
    </w:p>
    <w:p w14:paraId="4629A46C" w14:textId="56728343" w:rsidR="005F0A45" w:rsidRPr="005F0A45" w:rsidRDefault="005F0A45" w:rsidP="005F0A45">
      <w:pPr>
        <w:rPr>
          <w:rFonts w:ascii="微軟正黑體" w:eastAsia="微軟正黑體" w:hAnsi="微軟正黑體"/>
          <w:b/>
          <w:bCs/>
          <w:sz w:val="20"/>
          <w:szCs w:val="20"/>
        </w:rPr>
      </w:pPr>
      <w:r w:rsidRPr="005F0A45">
        <w:rPr>
          <w:rFonts w:ascii="微軟正黑體" w:eastAsia="微軟正黑體" w:hAnsi="微軟正黑體" w:hint="eastAsia"/>
          <w:b/>
          <w:bCs/>
          <w:sz w:val="20"/>
          <w:szCs w:val="20"/>
        </w:rPr>
        <w:t>3.</w:t>
      </w:r>
      <w:r w:rsidRPr="005F0A45">
        <w:rPr>
          <w:rFonts w:ascii="微軟正黑體" w:eastAsia="微軟正黑體" w:hAnsi="微軟正黑體"/>
          <w:b/>
          <w:bCs/>
          <w:sz w:val="20"/>
          <w:szCs w:val="20"/>
        </w:rPr>
        <w:t>測試與驗證項目</w:t>
      </w:r>
    </w:p>
    <w:tbl>
      <w:tblPr>
        <w:tblStyle w:val="a8"/>
        <w:tblW w:w="0" w:type="auto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552"/>
        <w:gridCol w:w="3969"/>
        <w:gridCol w:w="4252"/>
      </w:tblGrid>
      <w:tr w:rsidR="005F0A45" w:rsidRPr="005F0A45" w14:paraId="3EBCC4F9" w14:textId="77777777" w:rsidTr="005F0A45">
        <w:trPr>
          <w:cantSplit/>
          <w:tblHeader/>
          <w:jc w:val="center"/>
        </w:trPr>
        <w:tc>
          <w:tcPr>
            <w:tcW w:w="1552" w:type="dxa"/>
            <w:shd w:val="clear" w:color="auto" w:fill="D9EAF7"/>
          </w:tcPr>
          <w:p w14:paraId="0A1F3E2A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b/>
                <w:sz w:val="19"/>
              </w:rPr>
              <w:t>驗證項目</w:t>
            </w:r>
          </w:p>
        </w:tc>
        <w:tc>
          <w:tcPr>
            <w:tcW w:w="3969" w:type="dxa"/>
            <w:shd w:val="clear" w:color="auto" w:fill="D9EAF7"/>
          </w:tcPr>
          <w:p w14:paraId="6BA0755F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b/>
                <w:sz w:val="19"/>
              </w:rPr>
              <w:t>測試內容</w:t>
            </w:r>
          </w:p>
        </w:tc>
        <w:tc>
          <w:tcPr>
            <w:tcW w:w="4252" w:type="dxa"/>
            <w:shd w:val="clear" w:color="auto" w:fill="D9EAF7"/>
          </w:tcPr>
          <w:p w14:paraId="05C3AC7C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b/>
                <w:sz w:val="19"/>
              </w:rPr>
              <w:t>驗收重點</w:t>
            </w:r>
          </w:p>
        </w:tc>
      </w:tr>
      <w:tr w:rsidR="005F0A45" w:rsidRPr="005F0A45" w14:paraId="570A962E" w14:textId="77777777" w:rsidTr="005F0A45">
        <w:trPr>
          <w:cantSplit/>
          <w:jc w:val="center"/>
        </w:trPr>
        <w:tc>
          <w:tcPr>
            <w:tcW w:w="1552" w:type="dxa"/>
          </w:tcPr>
          <w:p w14:paraId="6ADD5993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機械動作測試</w:t>
            </w:r>
          </w:p>
        </w:tc>
        <w:tc>
          <w:tcPr>
            <w:tcW w:w="3969" w:type="dxa"/>
          </w:tcPr>
          <w:p w14:paraId="48C2436E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確認機械手臂基本移動、</w:t>
            </w:r>
            <w:proofErr w:type="gramStart"/>
            <w:r w:rsidRPr="005F0A45">
              <w:rPr>
                <w:rFonts w:ascii="微軟正黑體" w:eastAsia="微軟正黑體" w:hAnsi="微軟正黑體" w:cs="Noto Sans CJK TC"/>
                <w:sz w:val="18"/>
              </w:rPr>
              <w:t>夾取</w:t>
            </w:r>
            <w:proofErr w:type="gramEnd"/>
            <w:r w:rsidRPr="005F0A45">
              <w:rPr>
                <w:rFonts w:ascii="微軟正黑體" w:eastAsia="微軟正黑體" w:hAnsi="微軟正黑體" w:cs="Noto Sans CJK TC"/>
                <w:sz w:val="18"/>
              </w:rPr>
              <w:t>、吊掛、放置與復歸動作。</w:t>
            </w:r>
          </w:p>
        </w:tc>
        <w:tc>
          <w:tcPr>
            <w:tcW w:w="4252" w:type="dxa"/>
          </w:tcPr>
          <w:p w14:paraId="5FA1A382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動作順暢、無明顯干涉，並可完成指定測試流程。</w:t>
            </w:r>
          </w:p>
        </w:tc>
      </w:tr>
      <w:tr w:rsidR="005F0A45" w:rsidRPr="005F0A45" w14:paraId="0FBD1278" w14:textId="77777777" w:rsidTr="005F0A45">
        <w:trPr>
          <w:cantSplit/>
          <w:jc w:val="center"/>
        </w:trPr>
        <w:tc>
          <w:tcPr>
            <w:tcW w:w="1552" w:type="dxa"/>
          </w:tcPr>
          <w:p w14:paraId="4C304863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視覺辨識測試</w:t>
            </w:r>
          </w:p>
        </w:tc>
        <w:tc>
          <w:tcPr>
            <w:tcW w:w="3969" w:type="dxa"/>
          </w:tcPr>
          <w:p w14:paraId="7355EA75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確認 2D 相機可取得影像並執行已設定之視覺工具。</w:t>
            </w:r>
          </w:p>
        </w:tc>
        <w:tc>
          <w:tcPr>
            <w:tcW w:w="4252" w:type="dxa"/>
          </w:tcPr>
          <w:p w14:paraId="42108B4E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可完成指定視覺工具測試，並保留設定檔或測試紀錄。</w:t>
            </w:r>
          </w:p>
        </w:tc>
      </w:tr>
      <w:tr w:rsidR="005F0A45" w:rsidRPr="005F0A45" w14:paraId="32623931" w14:textId="77777777" w:rsidTr="005F0A45">
        <w:trPr>
          <w:cantSplit/>
          <w:jc w:val="center"/>
        </w:trPr>
        <w:tc>
          <w:tcPr>
            <w:tcW w:w="1552" w:type="dxa"/>
          </w:tcPr>
          <w:p w14:paraId="637A44FB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雷射感測測試</w:t>
            </w:r>
          </w:p>
        </w:tc>
        <w:tc>
          <w:tcPr>
            <w:tcW w:w="3969" w:type="dxa"/>
          </w:tcPr>
          <w:p w14:paraId="64B544A5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確認雷射感測器與 PLC I/O 連線、檢測範圍及輸出訊號。</w:t>
            </w:r>
          </w:p>
        </w:tc>
        <w:tc>
          <w:tcPr>
            <w:tcW w:w="4252" w:type="dxa"/>
          </w:tcPr>
          <w:p w14:paraId="19176AA0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可依設定範圍完成檢測，並輸出數據或圖表紀錄。</w:t>
            </w:r>
          </w:p>
        </w:tc>
      </w:tr>
      <w:tr w:rsidR="005F0A45" w:rsidRPr="005F0A45" w14:paraId="4452B087" w14:textId="77777777" w:rsidTr="005F0A45">
        <w:trPr>
          <w:cantSplit/>
          <w:jc w:val="center"/>
        </w:trPr>
        <w:tc>
          <w:tcPr>
            <w:tcW w:w="1552" w:type="dxa"/>
          </w:tcPr>
          <w:p w14:paraId="7D38E80F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控制交握測試</w:t>
            </w:r>
          </w:p>
        </w:tc>
        <w:tc>
          <w:tcPr>
            <w:tcW w:w="3969" w:type="dxa"/>
          </w:tcPr>
          <w:p w14:paraId="0B2B90CC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確認機械手臂、PLC、感測器及控制箱</w:t>
            </w:r>
            <w:proofErr w:type="gramStart"/>
            <w:r w:rsidRPr="005F0A45">
              <w:rPr>
                <w:rFonts w:ascii="微軟正黑體" w:eastAsia="微軟正黑體" w:hAnsi="微軟正黑體" w:cs="Noto Sans CJK TC"/>
                <w:sz w:val="18"/>
              </w:rPr>
              <w:t>之啟停</w:t>
            </w:r>
            <w:proofErr w:type="gramEnd"/>
            <w:r w:rsidRPr="005F0A45">
              <w:rPr>
                <w:rFonts w:ascii="微軟正黑體" w:eastAsia="微軟正黑體" w:hAnsi="微軟正黑體" w:cs="Noto Sans CJK TC"/>
                <w:sz w:val="18"/>
              </w:rPr>
              <w:t>、狀態與異常訊號。</w:t>
            </w:r>
          </w:p>
        </w:tc>
        <w:tc>
          <w:tcPr>
            <w:tcW w:w="4252" w:type="dxa"/>
          </w:tcPr>
          <w:p w14:paraId="215E93A4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主要 I/O 訊號可正常傳遞，異常狀態可被辨識。</w:t>
            </w:r>
          </w:p>
        </w:tc>
      </w:tr>
      <w:tr w:rsidR="005F0A45" w:rsidRPr="005F0A45" w14:paraId="1F57CD4F" w14:textId="77777777" w:rsidTr="005F0A45">
        <w:trPr>
          <w:cantSplit/>
          <w:jc w:val="center"/>
        </w:trPr>
        <w:tc>
          <w:tcPr>
            <w:tcW w:w="1552" w:type="dxa"/>
          </w:tcPr>
          <w:p w14:paraId="334AFC7E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整合流程測試</w:t>
            </w:r>
          </w:p>
        </w:tc>
        <w:tc>
          <w:tcPr>
            <w:tcW w:w="3969" w:type="dxa"/>
          </w:tcPr>
          <w:p w14:paraId="5EC53242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確認自動吊掛流程可依預定步驟連續執行。</w:t>
            </w:r>
          </w:p>
        </w:tc>
        <w:tc>
          <w:tcPr>
            <w:tcW w:w="4252" w:type="dxa"/>
          </w:tcPr>
          <w:p w14:paraId="4E25E890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完成工研院指定測試案例，並提供測試結果。</w:t>
            </w:r>
          </w:p>
        </w:tc>
      </w:tr>
      <w:tr w:rsidR="005F0A45" w:rsidRPr="005F0A45" w14:paraId="01BDAAA3" w14:textId="77777777" w:rsidTr="005F0A45">
        <w:trPr>
          <w:cantSplit/>
          <w:jc w:val="center"/>
        </w:trPr>
        <w:tc>
          <w:tcPr>
            <w:tcW w:w="1552" w:type="dxa"/>
          </w:tcPr>
          <w:p w14:paraId="066BFFE2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操作與維護確認</w:t>
            </w:r>
          </w:p>
        </w:tc>
        <w:tc>
          <w:tcPr>
            <w:tcW w:w="3969" w:type="dxa"/>
          </w:tcPr>
          <w:p w14:paraId="78442CB5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確認使用者可依說明完成基本操作、參數調整與簡易維護。</w:t>
            </w:r>
          </w:p>
        </w:tc>
        <w:tc>
          <w:tcPr>
            <w:tcW w:w="4252" w:type="dxa"/>
          </w:tcPr>
          <w:p w14:paraId="6A741104" w14:textId="77777777" w:rsidR="005F0A45" w:rsidRPr="005F0A45" w:rsidRDefault="005F0A45" w:rsidP="00491191">
            <w:pPr>
              <w:spacing w:line="252" w:lineRule="auto"/>
              <w:rPr>
                <w:rFonts w:ascii="微軟正黑體" w:eastAsia="微軟正黑體" w:hAnsi="微軟正黑體"/>
              </w:rPr>
            </w:pPr>
            <w:r w:rsidRPr="005F0A45">
              <w:rPr>
                <w:rFonts w:ascii="微軟正黑體" w:eastAsia="微軟正黑體" w:hAnsi="微軟正黑體" w:cs="Noto Sans CJK TC"/>
                <w:sz w:val="18"/>
              </w:rPr>
              <w:t>提供操作說明與組裝／維護指導。</w:t>
            </w:r>
          </w:p>
        </w:tc>
      </w:tr>
    </w:tbl>
    <w:p w14:paraId="35A62600" w14:textId="77777777" w:rsidR="0010705C" w:rsidRDefault="0010705C" w:rsidP="00AB06E3">
      <w:pPr>
        <w:spacing w:line="0" w:lineRule="atLeast"/>
        <w:rPr>
          <w:rFonts w:ascii="微軟正黑體" w:eastAsia="微軟正黑體" w:hAnsi="微軟正黑體" w:cs="Times New Roman"/>
          <w:sz w:val="20"/>
          <w:szCs w:val="20"/>
        </w:rPr>
      </w:pPr>
    </w:p>
    <w:p w14:paraId="2808A95F" w14:textId="77777777" w:rsidR="005F0A45" w:rsidRDefault="005F0A45" w:rsidP="00AB06E3">
      <w:pPr>
        <w:spacing w:line="0" w:lineRule="atLeast"/>
        <w:rPr>
          <w:rFonts w:ascii="微軟正黑體" w:eastAsia="微軟正黑體" w:hAnsi="微軟正黑體" w:cs="Times New Roman" w:hint="eastAsia"/>
          <w:sz w:val="20"/>
          <w:szCs w:val="20"/>
        </w:rPr>
      </w:pPr>
    </w:p>
    <w:p w14:paraId="4F6CB918" w14:textId="2D93E085" w:rsidR="005F0A45" w:rsidRDefault="005F0A45" w:rsidP="00AB06E3">
      <w:pPr>
        <w:spacing w:line="0" w:lineRule="atLeast"/>
        <w:rPr>
          <w:rFonts w:ascii="微軟正黑體" w:eastAsia="微軟正黑體" w:hAnsi="微軟正黑體"/>
          <w:b/>
          <w:bCs/>
          <w:sz w:val="20"/>
          <w:szCs w:val="20"/>
        </w:rPr>
      </w:pPr>
      <w:r w:rsidRPr="005F0A45">
        <w:rPr>
          <w:rFonts w:ascii="微軟正黑體" w:eastAsia="微軟正黑體" w:hAnsi="微軟正黑體" w:hint="eastAsia"/>
          <w:b/>
          <w:bCs/>
          <w:sz w:val="20"/>
          <w:szCs w:val="20"/>
        </w:rPr>
        <w:t>4.交付項目</w:t>
      </w:r>
    </w:p>
    <w:p w14:paraId="23020905" w14:textId="37FE2CB2" w:rsidR="005F0A45" w:rsidRDefault="005F0A45" w:rsidP="005F0A45">
      <w:pPr>
        <w:pStyle w:val="a"/>
        <w:spacing w:after="20"/>
        <w:rPr>
          <w:lang w:eastAsia="zh-TW"/>
        </w:rPr>
      </w:pPr>
      <w:r>
        <w:rPr>
          <w:sz w:val="21"/>
          <w:lang w:eastAsia="zh-TW"/>
        </w:rPr>
        <w:t>機械手臂、</w:t>
      </w:r>
      <w:proofErr w:type="gramStart"/>
      <w:r>
        <w:rPr>
          <w:sz w:val="21"/>
          <w:lang w:eastAsia="zh-TW"/>
        </w:rPr>
        <w:t>夾爪</w:t>
      </w:r>
      <w:proofErr w:type="gramEnd"/>
      <w:r>
        <w:rPr>
          <w:sz w:val="21"/>
          <w:lang w:eastAsia="zh-TW"/>
        </w:rPr>
        <w:t>、基座、</w:t>
      </w:r>
      <w:proofErr w:type="gramStart"/>
      <w:r>
        <w:rPr>
          <w:sz w:val="21"/>
          <w:lang w:eastAsia="zh-TW"/>
        </w:rPr>
        <w:t>工件料架及相關治具之</w:t>
      </w:r>
      <w:proofErr w:type="gramEnd"/>
      <w:r>
        <w:rPr>
          <w:sz w:val="21"/>
          <w:lang w:eastAsia="zh-TW"/>
        </w:rPr>
        <w:t>配置或</w:t>
      </w:r>
      <w:r>
        <w:rPr>
          <w:rFonts w:ascii="新細明體" w:eastAsia="新細明體" w:hAnsi="新細明體" w:cs="新細明體" w:hint="eastAsia"/>
          <w:sz w:val="21"/>
          <w:lang w:eastAsia="zh-TW"/>
        </w:rPr>
        <w:t>設計</w:t>
      </w:r>
      <w:r>
        <w:rPr>
          <w:sz w:val="21"/>
          <w:lang w:eastAsia="zh-TW"/>
        </w:rPr>
        <w:t>資料。</w:t>
      </w:r>
    </w:p>
    <w:p w14:paraId="2020B8D2" w14:textId="2CC0D8B4" w:rsidR="005F0A45" w:rsidRDefault="005F0A45" w:rsidP="005F0A45">
      <w:pPr>
        <w:pStyle w:val="a"/>
        <w:spacing w:after="20"/>
        <w:rPr>
          <w:lang w:eastAsia="zh-TW"/>
        </w:rPr>
      </w:pPr>
      <w:r>
        <w:rPr>
          <w:sz w:val="21"/>
          <w:lang w:eastAsia="zh-TW"/>
        </w:rPr>
        <w:t>2D 視覺相機設定檔、視覺工具設定資料。</w:t>
      </w:r>
    </w:p>
    <w:p w14:paraId="225F0604" w14:textId="5E1B578F" w:rsidR="005F0A45" w:rsidRDefault="005F0A45" w:rsidP="005F0A45">
      <w:pPr>
        <w:pStyle w:val="a"/>
        <w:spacing w:after="20"/>
        <w:rPr>
          <w:lang w:eastAsia="zh-TW"/>
        </w:rPr>
      </w:pPr>
      <w:r>
        <w:rPr>
          <w:sz w:val="21"/>
          <w:lang w:eastAsia="zh-TW"/>
        </w:rPr>
        <w:t>雷射感測模組參數設定、檢測範圍設定資料。</w:t>
      </w:r>
    </w:p>
    <w:p w14:paraId="327683FF" w14:textId="17649E13" w:rsidR="005F0A45" w:rsidRDefault="005F0A45" w:rsidP="005F0A45">
      <w:pPr>
        <w:pStyle w:val="a"/>
        <w:spacing w:after="20"/>
        <w:rPr>
          <w:lang w:eastAsia="zh-TW"/>
        </w:rPr>
      </w:pPr>
      <w:r>
        <w:rPr>
          <w:sz w:val="21"/>
          <w:lang w:eastAsia="zh-TW"/>
        </w:rPr>
        <w:t>PLC I/O 或相關訊號交握資料、接線</w:t>
      </w:r>
      <w:r>
        <w:rPr>
          <w:rFonts w:ascii="新細明體" w:eastAsia="新細明體" w:hAnsi="新細明體" w:cs="新細明體" w:hint="eastAsia"/>
          <w:sz w:val="21"/>
          <w:lang w:eastAsia="zh-TW"/>
        </w:rPr>
        <w:t>圖面</w:t>
      </w:r>
      <w:r>
        <w:rPr>
          <w:sz w:val="21"/>
          <w:lang w:eastAsia="zh-TW"/>
        </w:rPr>
        <w:t>。</w:t>
      </w:r>
    </w:p>
    <w:p w14:paraId="2002E3F0" w14:textId="1EBF45B2" w:rsidR="005F0A45" w:rsidRPr="005F0A45" w:rsidRDefault="005F0A45" w:rsidP="0087799F">
      <w:pPr>
        <w:pStyle w:val="a"/>
        <w:spacing w:after="20" w:line="0" w:lineRule="atLeast"/>
        <w:rPr>
          <w:rFonts w:ascii="微軟正黑體" w:eastAsia="微軟正黑體" w:hAnsi="微軟正黑體" w:cstheme="minorBidi" w:hint="eastAsia"/>
          <w:b/>
          <w:bCs/>
          <w:sz w:val="20"/>
          <w:szCs w:val="20"/>
        </w:rPr>
      </w:pPr>
      <w:r w:rsidRPr="005F0A45">
        <w:rPr>
          <w:rFonts w:ascii="新細明體" w:eastAsia="新細明體" w:hAnsi="新細明體" w:cs="新細明體" w:hint="eastAsia"/>
          <w:sz w:val="21"/>
          <w:lang w:eastAsia="zh-TW"/>
        </w:rPr>
        <w:t>自動吊掛流程測試紀錄、異常改善紀錄及驗收確認資料。</w:t>
      </w:r>
    </w:p>
    <w:sectPr w:rsidR="005F0A45" w:rsidRPr="005F0A45" w:rsidSect="00CB2AC0">
      <w:pgSz w:w="11906" w:h="16838"/>
      <w:pgMar w:top="720" w:right="720" w:bottom="720" w:left="72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DB89E" w14:textId="77777777" w:rsidR="006E0302" w:rsidRDefault="006E0302" w:rsidP="007A7237">
      <w:r>
        <w:separator/>
      </w:r>
    </w:p>
  </w:endnote>
  <w:endnote w:type="continuationSeparator" w:id="0">
    <w:p w14:paraId="6F0CF967" w14:textId="77777777" w:rsidR="006E0302" w:rsidRDefault="006E0302" w:rsidP="007A7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AEA8C" w14:textId="77777777" w:rsidR="006E0302" w:rsidRDefault="006E0302" w:rsidP="007A7237">
      <w:r>
        <w:separator/>
      </w:r>
    </w:p>
  </w:footnote>
  <w:footnote w:type="continuationSeparator" w:id="0">
    <w:p w14:paraId="7890D1B0" w14:textId="77777777" w:rsidR="006E0302" w:rsidRDefault="006E0302" w:rsidP="007A72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CDD601A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C412B5"/>
    <w:multiLevelType w:val="hybridMultilevel"/>
    <w:tmpl w:val="A5D2D8BC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038E7D4B"/>
    <w:multiLevelType w:val="multilevel"/>
    <w:tmpl w:val="D2746B2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5DF7804"/>
    <w:multiLevelType w:val="multilevel"/>
    <w:tmpl w:val="2AEE6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6B232B"/>
    <w:multiLevelType w:val="hybridMultilevel"/>
    <w:tmpl w:val="E5FEC10E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7A714B"/>
    <w:multiLevelType w:val="hybridMultilevel"/>
    <w:tmpl w:val="21DE88D0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6" w15:restartNumberingAfterBreak="0">
    <w:nsid w:val="0B7A7A80"/>
    <w:multiLevelType w:val="hybridMultilevel"/>
    <w:tmpl w:val="AE92A95E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7" w15:restartNumberingAfterBreak="0">
    <w:nsid w:val="0D674D49"/>
    <w:multiLevelType w:val="multilevel"/>
    <w:tmpl w:val="52085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FA7510"/>
    <w:multiLevelType w:val="hybridMultilevel"/>
    <w:tmpl w:val="1BC839D8"/>
    <w:lvl w:ilvl="0" w:tplc="54942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B21A88"/>
    <w:multiLevelType w:val="multilevel"/>
    <w:tmpl w:val="068C78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203E67"/>
    <w:multiLevelType w:val="hybridMultilevel"/>
    <w:tmpl w:val="9160A91A"/>
    <w:lvl w:ilvl="0" w:tplc="0409001B">
      <w:start w:val="1"/>
      <w:numFmt w:val="lowerRoman"/>
      <w:lvlText w:val="%1."/>
      <w:lvlJc w:val="righ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2387268C"/>
    <w:multiLevelType w:val="multilevel"/>
    <w:tmpl w:val="0BF2A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CA2E8C"/>
    <w:multiLevelType w:val="multilevel"/>
    <w:tmpl w:val="C85AA24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264F58A4"/>
    <w:multiLevelType w:val="multilevel"/>
    <w:tmpl w:val="A1443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FA7FA7"/>
    <w:multiLevelType w:val="hybridMultilevel"/>
    <w:tmpl w:val="21064004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5" w15:restartNumberingAfterBreak="0">
    <w:nsid w:val="2BE95280"/>
    <w:multiLevelType w:val="multilevel"/>
    <w:tmpl w:val="927C129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2F8415A4"/>
    <w:multiLevelType w:val="multilevel"/>
    <w:tmpl w:val="E9D081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3026590D"/>
    <w:multiLevelType w:val="hybridMultilevel"/>
    <w:tmpl w:val="0594434A"/>
    <w:lvl w:ilvl="0" w:tplc="FB8CE3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174F05"/>
    <w:multiLevelType w:val="multilevel"/>
    <w:tmpl w:val="52B2D1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347D6557"/>
    <w:multiLevelType w:val="multilevel"/>
    <w:tmpl w:val="239A336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50F37D8"/>
    <w:multiLevelType w:val="multilevel"/>
    <w:tmpl w:val="333E4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5A29AA"/>
    <w:multiLevelType w:val="multilevel"/>
    <w:tmpl w:val="125EF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A4120A8"/>
    <w:multiLevelType w:val="multilevel"/>
    <w:tmpl w:val="FE129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2F1468"/>
    <w:multiLevelType w:val="hybridMultilevel"/>
    <w:tmpl w:val="A36615F8"/>
    <w:lvl w:ilvl="0" w:tplc="FB8CE3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F45697D"/>
    <w:multiLevelType w:val="multilevel"/>
    <w:tmpl w:val="3FCA74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DA4499"/>
    <w:multiLevelType w:val="hybridMultilevel"/>
    <w:tmpl w:val="D2F0FAFC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6" w15:restartNumberingAfterBreak="0">
    <w:nsid w:val="564A19F7"/>
    <w:multiLevelType w:val="multilevel"/>
    <w:tmpl w:val="7A7C6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A735B3"/>
    <w:multiLevelType w:val="multilevel"/>
    <w:tmpl w:val="7E5C18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CCC512D"/>
    <w:multiLevelType w:val="multilevel"/>
    <w:tmpl w:val="DE4CB3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3E41A7"/>
    <w:multiLevelType w:val="multilevel"/>
    <w:tmpl w:val="C694C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AA7660"/>
    <w:multiLevelType w:val="multilevel"/>
    <w:tmpl w:val="47EEDE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A05451"/>
    <w:multiLevelType w:val="hybridMultilevel"/>
    <w:tmpl w:val="FAFC60CA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2" w15:restartNumberingAfterBreak="0">
    <w:nsid w:val="64747724"/>
    <w:multiLevelType w:val="multilevel"/>
    <w:tmpl w:val="0A34EEF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 w15:restartNumberingAfterBreak="0">
    <w:nsid w:val="6AF21FF5"/>
    <w:multiLevelType w:val="multilevel"/>
    <w:tmpl w:val="671CF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917546927">
    <w:abstractNumId w:val="17"/>
  </w:num>
  <w:num w:numId="2" w16cid:durableId="1821993087">
    <w:abstractNumId w:val="23"/>
  </w:num>
  <w:num w:numId="3" w16cid:durableId="1357731471">
    <w:abstractNumId w:val="8"/>
  </w:num>
  <w:num w:numId="4" w16cid:durableId="936331725">
    <w:abstractNumId w:val="10"/>
  </w:num>
  <w:num w:numId="5" w16cid:durableId="1395468748">
    <w:abstractNumId w:val="7"/>
  </w:num>
  <w:num w:numId="6" w16cid:durableId="599919937">
    <w:abstractNumId w:val="28"/>
  </w:num>
  <w:num w:numId="7" w16cid:durableId="834609464">
    <w:abstractNumId w:val="24"/>
  </w:num>
  <w:num w:numId="8" w16cid:durableId="1922713867">
    <w:abstractNumId w:val="9"/>
  </w:num>
  <w:num w:numId="9" w16cid:durableId="1567913510">
    <w:abstractNumId w:val="30"/>
  </w:num>
  <w:num w:numId="10" w16cid:durableId="771436954">
    <w:abstractNumId w:val="19"/>
  </w:num>
  <w:num w:numId="11" w16cid:durableId="2064450929">
    <w:abstractNumId w:val="29"/>
  </w:num>
  <w:num w:numId="12" w16cid:durableId="1051230198">
    <w:abstractNumId w:val="18"/>
  </w:num>
  <w:num w:numId="13" w16cid:durableId="660933008">
    <w:abstractNumId w:val="33"/>
  </w:num>
  <w:num w:numId="14" w16cid:durableId="444429602">
    <w:abstractNumId w:val="26"/>
  </w:num>
  <w:num w:numId="15" w16cid:durableId="245114555">
    <w:abstractNumId w:val="16"/>
  </w:num>
  <w:num w:numId="16" w16cid:durableId="1673533780">
    <w:abstractNumId w:val="11"/>
  </w:num>
  <w:num w:numId="17" w16cid:durableId="1833370533">
    <w:abstractNumId w:val="2"/>
  </w:num>
  <w:num w:numId="18" w16cid:durableId="857815568">
    <w:abstractNumId w:val="22"/>
  </w:num>
  <w:num w:numId="19" w16cid:durableId="1511523799">
    <w:abstractNumId w:val="27"/>
  </w:num>
  <w:num w:numId="20" w16cid:durableId="970284348">
    <w:abstractNumId w:val="20"/>
  </w:num>
  <w:num w:numId="21" w16cid:durableId="306016973">
    <w:abstractNumId w:val="1"/>
  </w:num>
  <w:num w:numId="22" w16cid:durableId="1108743815">
    <w:abstractNumId w:val="12"/>
  </w:num>
  <w:num w:numId="23" w16cid:durableId="1442260453">
    <w:abstractNumId w:val="3"/>
  </w:num>
  <w:num w:numId="24" w16cid:durableId="262541059">
    <w:abstractNumId w:val="4"/>
  </w:num>
  <w:num w:numId="25" w16cid:durableId="1849635675">
    <w:abstractNumId w:val="32"/>
  </w:num>
  <w:num w:numId="26" w16cid:durableId="1884172539">
    <w:abstractNumId w:val="13"/>
  </w:num>
  <w:num w:numId="27" w16cid:durableId="288977878">
    <w:abstractNumId w:val="14"/>
  </w:num>
  <w:num w:numId="28" w16cid:durableId="1449350798">
    <w:abstractNumId w:val="15"/>
  </w:num>
  <w:num w:numId="29" w16cid:durableId="1178696642">
    <w:abstractNumId w:val="21"/>
  </w:num>
  <w:num w:numId="30" w16cid:durableId="224338370">
    <w:abstractNumId w:val="31"/>
  </w:num>
  <w:num w:numId="31" w16cid:durableId="966857716">
    <w:abstractNumId w:val="6"/>
  </w:num>
  <w:num w:numId="32" w16cid:durableId="384333365">
    <w:abstractNumId w:val="5"/>
  </w:num>
  <w:num w:numId="33" w16cid:durableId="733968612">
    <w:abstractNumId w:val="25"/>
  </w:num>
  <w:num w:numId="34" w16cid:durableId="1568804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237"/>
    <w:rsid w:val="0005260C"/>
    <w:rsid w:val="0007573C"/>
    <w:rsid w:val="00086371"/>
    <w:rsid w:val="00093C89"/>
    <w:rsid w:val="000A3806"/>
    <w:rsid w:val="000B1189"/>
    <w:rsid w:val="000B26F3"/>
    <w:rsid w:val="000C05DB"/>
    <w:rsid w:val="000D0AF3"/>
    <w:rsid w:val="000F193B"/>
    <w:rsid w:val="001054B5"/>
    <w:rsid w:val="0010705C"/>
    <w:rsid w:val="0012090D"/>
    <w:rsid w:val="001231E2"/>
    <w:rsid w:val="0013487D"/>
    <w:rsid w:val="00141DA5"/>
    <w:rsid w:val="0014267D"/>
    <w:rsid w:val="00160F91"/>
    <w:rsid w:val="001A0A0D"/>
    <w:rsid w:val="001B37C4"/>
    <w:rsid w:val="002034B2"/>
    <w:rsid w:val="00231173"/>
    <w:rsid w:val="00246A68"/>
    <w:rsid w:val="00264F10"/>
    <w:rsid w:val="002724B3"/>
    <w:rsid w:val="002820EF"/>
    <w:rsid w:val="002C05A5"/>
    <w:rsid w:val="002C6B2F"/>
    <w:rsid w:val="002D78B2"/>
    <w:rsid w:val="002F1072"/>
    <w:rsid w:val="002F59F3"/>
    <w:rsid w:val="002F5A13"/>
    <w:rsid w:val="00307F95"/>
    <w:rsid w:val="0033753B"/>
    <w:rsid w:val="003401A2"/>
    <w:rsid w:val="00355443"/>
    <w:rsid w:val="0036625E"/>
    <w:rsid w:val="00367E91"/>
    <w:rsid w:val="00375316"/>
    <w:rsid w:val="00376F88"/>
    <w:rsid w:val="003A1417"/>
    <w:rsid w:val="003A5B83"/>
    <w:rsid w:val="003B0EC9"/>
    <w:rsid w:val="003C2BB3"/>
    <w:rsid w:val="004310F7"/>
    <w:rsid w:val="0043457D"/>
    <w:rsid w:val="004703B3"/>
    <w:rsid w:val="00480BFF"/>
    <w:rsid w:val="004A7E12"/>
    <w:rsid w:val="004B2018"/>
    <w:rsid w:val="004B7AEA"/>
    <w:rsid w:val="004C24E4"/>
    <w:rsid w:val="004C59C7"/>
    <w:rsid w:val="004D3897"/>
    <w:rsid w:val="004E0C28"/>
    <w:rsid w:val="004E1105"/>
    <w:rsid w:val="004F1BE1"/>
    <w:rsid w:val="005107F4"/>
    <w:rsid w:val="00570A23"/>
    <w:rsid w:val="005A2B2A"/>
    <w:rsid w:val="005C2B7E"/>
    <w:rsid w:val="005D6FB2"/>
    <w:rsid w:val="005D7E6B"/>
    <w:rsid w:val="005F0A45"/>
    <w:rsid w:val="006014AE"/>
    <w:rsid w:val="00606E8F"/>
    <w:rsid w:val="00627A61"/>
    <w:rsid w:val="00631AA5"/>
    <w:rsid w:val="00646FA3"/>
    <w:rsid w:val="00666274"/>
    <w:rsid w:val="006A3386"/>
    <w:rsid w:val="006A5095"/>
    <w:rsid w:val="006D4A36"/>
    <w:rsid w:val="006E0302"/>
    <w:rsid w:val="006E0A1D"/>
    <w:rsid w:val="006E5A55"/>
    <w:rsid w:val="0070159B"/>
    <w:rsid w:val="00703DDB"/>
    <w:rsid w:val="00705261"/>
    <w:rsid w:val="00712C6C"/>
    <w:rsid w:val="0072223E"/>
    <w:rsid w:val="00740544"/>
    <w:rsid w:val="00742411"/>
    <w:rsid w:val="0075793E"/>
    <w:rsid w:val="007862AF"/>
    <w:rsid w:val="00791576"/>
    <w:rsid w:val="00794E0B"/>
    <w:rsid w:val="007A7237"/>
    <w:rsid w:val="007E1161"/>
    <w:rsid w:val="007E3FD0"/>
    <w:rsid w:val="007F4C26"/>
    <w:rsid w:val="00806B45"/>
    <w:rsid w:val="00810835"/>
    <w:rsid w:val="0081112E"/>
    <w:rsid w:val="00822AD3"/>
    <w:rsid w:val="0084463B"/>
    <w:rsid w:val="0084493F"/>
    <w:rsid w:val="008475EC"/>
    <w:rsid w:val="00864DD1"/>
    <w:rsid w:val="00873B0A"/>
    <w:rsid w:val="008A5AB0"/>
    <w:rsid w:val="008B7FE0"/>
    <w:rsid w:val="008D26A8"/>
    <w:rsid w:val="008E6DCE"/>
    <w:rsid w:val="00937D2E"/>
    <w:rsid w:val="00942EAE"/>
    <w:rsid w:val="009805EB"/>
    <w:rsid w:val="00984BF5"/>
    <w:rsid w:val="009956C8"/>
    <w:rsid w:val="009C3ADA"/>
    <w:rsid w:val="009C4F4C"/>
    <w:rsid w:val="00A014AE"/>
    <w:rsid w:val="00A01C94"/>
    <w:rsid w:val="00A347F7"/>
    <w:rsid w:val="00A46AD5"/>
    <w:rsid w:val="00A54324"/>
    <w:rsid w:val="00A63838"/>
    <w:rsid w:val="00A917B8"/>
    <w:rsid w:val="00AB06E3"/>
    <w:rsid w:val="00AC7A6A"/>
    <w:rsid w:val="00AE44E5"/>
    <w:rsid w:val="00B2672C"/>
    <w:rsid w:val="00B8628D"/>
    <w:rsid w:val="00B90720"/>
    <w:rsid w:val="00BC515B"/>
    <w:rsid w:val="00BD46C3"/>
    <w:rsid w:val="00BE2421"/>
    <w:rsid w:val="00BF3D07"/>
    <w:rsid w:val="00C02B17"/>
    <w:rsid w:val="00C02C0A"/>
    <w:rsid w:val="00C05A47"/>
    <w:rsid w:val="00C13E17"/>
    <w:rsid w:val="00C23E29"/>
    <w:rsid w:val="00C241E1"/>
    <w:rsid w:val="00C56B72"/>
    <w:rsid w:val="00C861D8"/>
    <w:rsid w:val="00C862EE"/>
    <w:rsid w:val="00CA57D9"/>
    <w:rsid w:val="00CB2925"/>
    <w:rsid w:val="00CB2AC0"/>
    <w:rsid w:val="00CD3961"/>
    <w:rsid w:val="00D41A92"/>
    <w:rsid w:val="00D755D4"/>
    <w:rsid w:val="00D75659"/>
    <w:rsid w:val="00D84EEA"/>
    <w:rsid w:val="00D91DE9"/>
    <w:rsid w:val="00DC4832"/>
    <w:rsid w:val="00DD4E3F"/>
    <w:rsid w:val="00DE390E"/>
    <w:rsid w:val="00DE3A44"/>
    <w:rsid w:val="00E00157"/>
    <w:rsid w:val="00E3519E"/>
    <w:rsid w:val="00E608E0"/>
    <w:rsid w:val="00E85002"/>
    <w:rsid w:val="00E94D9F"/>
    <w:rsid w:val="00EA2982"/>
    <w:rsid w:val="00EB37BA"/>
    <w:rsid w:val="00EB3A6F"/>
    <w:rsid w:val="00ED11FB"/>
    <w:rsid w:val="00ED37C8"/>
    <w:rsid w:val="00EE5AD6"/>
    <w:rsid w:val="00F101CC"/>
    <w:rsid w:val="00F16FDF"/>
    <w:rsid w:val="00F336FE"/>
    <w:rsid w:val="00F74EEA"/>
    <w:rsid w:val="00F96FF4"/>
    <w:rsid w:val="00FC312B"/>
    <w:rsid w:val="00FF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B1CC175"/>
  <w15:chartTrackingRefBased/>
  <w15:docId w15:val="{312D7AA3-596E-4026-AC0E-AAB5C0B13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a0"/>
    <w:next w:val="a0"/>
    <w:link w:val="10"/>
    <w:uiPriority w:val="9"/>
    <w:qFormat/>
    <w:rsid w:val="005F0A4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link w:val="20"/>
    <w:uiPriority w:val="9"/>
    <w:qFormat/>
    <w:rsid w:val="00703DD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0"/>
    <w:link w:val="30"/>
    <w:uiPriority w:val="9"/>
    <w:qFormat/>
    <w:rsid w:val="00703DD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7A72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7A7237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7A72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7A7237"/>
    <w:rPr>
      <w:sz w:val="20"/>
      <w:szCs w:val="20"/>
    </w:rPr>
  </w:style>
  <w:style w:type="table" w:styleId="a8">
    <w:name w:val="Table Grid"/>
    <w:basedOn w:val="a2"/>
    <w:uiPriority w:val="59"/>
    <w:rsid w:val="007A7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uiPriority w:val="99"/>
    <w:semiHidden/>
    <w:unhideWhenUsed/>
    <w:rsid w:val="00BC51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1"/>
    <w:link w:val="a9"/>
    <w:uiPriority w:val="99"/>
    <w:semiHidden/>
    <w:rsid w:val="00BC515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0"/>
    <w:uiPriority w:val="34"/>
    <w:qFormat/>
    <w:rsid w:val="00F96FF4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20">
    <w:name w:val="標題 2 字元"/>
    <w:basedOn w:val="a1"/>
    <w:link w:val="2"/>
    <w:uiPriority w:val="9"/>
    <w:rsid w:val="00703DD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1"/>
    <w:link w:val="3"/>
    <w:uiPriority w:val="9"/>
    <w:rsid w:val="00703DDB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0"/>
    <w:uiPriority w:val="99"/>
    <w:unhideWhenUsed/>
    <w:rsid w:val="00703DD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1"/>
    <w:link w:val="1"/>
    <w:uiPriority w:val="9"/>
    <w:rsid w:val="005F0A4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">
    <w:name w:val="List Bullet"/>
    <w:basedOn w:val="a0"/>
    <w:uiPriority w:val="99"/>
    <w:unhideWhenUsed/>
    <w:rsid w:val="005F0A45"/>
    <w:pPr>
      <w:widowControl/>
      <w:numPr>
        <w:numId w:val="34"/>
      </w:numPr>
      <w:spacing w:after="200" w:line="276" w:lineRule="auto"/>
      <w:contextualSpacing/>
    </w:pPr>
    <w:rPr>
      <w:rFonts w:ascii="Noto Sans CJK TC" w:eastAsia="Noto Sans CJK TC" w:hAnsi="Noto Sans CJK TC" w:cs="Noto Sans CJK TC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34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620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654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0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32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2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05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8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15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52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5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1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3340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5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770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1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704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77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0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7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602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5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6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3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419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071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33FF6-F86B-4252-ABE1-3CC2B7D2F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洪慧美</dc:creator>
  <cp:keywords/>
  <dc:description/>
  <cp:lastModifiedBy>潘韋龍</cp:lastModifiedBy>
  <cp:revision>11</cp:revision>
  <cp:lastPrinted>2019-01-24T08:19:00Z</cp:lastPrinted>
  <dcterms:created xsi:type="dcterms:W3CDTF">2025-09-17T08:34:00Z</dcterms:created>
  <dcterms:modified xsi:type="dcterms:W3CDTF">2026-06-02T07:33:00Z</dcterms:modified>
</cp:coreProperties>
</file>