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FC2B1" w14:textId="77777777" w:rsidR="006D5DBA" w:rsidRDefault="006D5DBA">
      <w:pPr>
        <w:spacing w:line="240" w:lineRule="atLeast"/>
        <w:jc w:val="both"/>
        <w:rPr>
          <w:rFonts w:ascii="微軟正黑體" w:eastAsia="微軟正黑體" w:hAnsi="微軟正黑體" w:cs="微軟正黑體"/>
          <w:b/>
          <w:color w:val="000000"/>
          <w:sz w:val="20"/>
        </w:rPr>
      </w:pPr>
    </w:p>
    <w:p w14:paraId="4FECC2FC" w14:textId="77777777" w:rsidR="006D5DBA" w:rsidRDefault="006D5DBA">
      <w:pPr>
        <w:widowControl/>
        <w:autoSpaceDE w:val="0"/>
        <w:spacing w:before="120" w:after="120" w:line="240" w:lineRule="atLeast"/>
        <w:jc w:val="both"/>
        <w:textAlignment w:val="bottom"/>
        <w:rPr>
          <w:rFonts w:ascii="微軟正黑體" w:eastAsia="微軟正黑體" w:hAnsi="微軟正黑體" w:cs="微軟正黑體"/>
          <w:b/>
          <w:color w:val="000000"/>
          <w:sz w:val="20"/>
        </w:rPr>
      </w:pPr>
      <w:bookmarkStart w:id="0" w:name="OLE_LINK5"/>
    </w:p>
    <w:p w14:paraId="31B36064" w14:textId="77777777" w:rsidR="008B44E4" w:rsidRDefault="008B44E4">
      <w:pPr>
        <w:widowControl/>
        <w:autoSpaceDE w:val="0"/>
        <w:spacing w:before="180" w:after="100"/>
        <w:jc w:val="center"/>
        <w:textAlignment w:val="bottom"/>
        <w:rPr>
          <w:rFonts w:ascii="微軟正黑體" w:eastAsia="微軟正黑體" w:hAnsi="微軟正黑體" w:cs="微軟正黑體"/>
          <w:sz w:val="52"/>
          <w:szCs w:val="52"/>
        </w:rPr>
      </w:pPr>
      <w:r w:rsidRPr="008B44E4">
        <w:rPr>
          <w:rFonts w:ascii="微軟正黑體" w:eastAsia="微軟正黑體" w:hAnsi="微軟正黑體" w:cs="微軟正黑體"/>
          <w:sz w:val="52"/>
          <w:szCs w:val="52"/>
        </w:rPr>
        <w:t>17</w:t>
      </w:r>
      <w:r w:rsidRPr="008B44E4">
        <w:rPr>
          <w:rFonts w:ascii="微軟正黑體" w:eastAsia="微軟正黑體" w:hAnsi="微軟正黑體" w:cs="微軟正黑體" w:hint="eastAsia"/>
          <w:sz w:val="52"/>
          <w:szCs w:val="52"/>
        </w:rPr>
        <w:t>館</w:t>
      </w:r>
      <w:r w:rsidRPr="008B44E4">
        <w:rPr>
          <w:rFonts w:ascii="微軟正黑體" w:eastAsia="微軟正黑體" w:hAnsi="微軟正黑體" w:cs="微軟正黑體"/>
          <w:sz w:val="52"/>
          <w:szCs w:val="52"/>
        </w:rPr>
        <w:t>1F</w:t>
      </w:r>
      <w:r w:rsidRPr="008B44E4">
        <w:rPr>
          <w:rFonts w:ascii="微軟正黑體" w:eastAsia="微軟正黑體" w:hAnsi="微軟正黑體" w:cs="微軟正黑體" w:hint="eastAsia"/>
          <w:sz w:val="52"/>
          <w:szCs w:val="52"/>
        </w:rPr>
        <w:t>冰水管及</w:t>
      </w:r>
      <w:r w:rsidRPr="008B44E4">
        <w:rPr>
          <w:rFonts w:ascii="微軟正黑體" w:eastAsia="微軟正黑體" w:hAnsi="微軟正黑體" w:cs="微軟正黑體"/>
          <w:sz w:val="52"/>
          <w:szCs w:val="52"/>
        </w:rPr>
        <w:t>AH3</w:t>
      </w:r>
      <w:r w:rsidRPr="008B44E4">
        <w:rPr>
          <w:rFonts w:ascii="微軟正黑體" w:eastAsia="微軟正黑體" w:hAnsi="微軟正黑體" w:cs="微軟正黑體" w:hint="eastAsia"/>
          <w:sz w:val="52"/>
          <w:szCs w:val="52"/>
        </w:rPr>
        <w:t>保溫維護</w:t>
      </w:r>
    </w:p>
    <w:p w14:paraId="4DB696ED" w14:textId="58CFA9D6" w:rsidR="006D5DBA" w:rsidRDefault="00000000">
      <w:pPr>
        <w:widowControl/>
        <w:autoSpaceDE w:val="0"/>
        <w:spacing w:before="180" w:after="100"/>
        <w:jc w:val="center"/>
        <w:textAlignment w:val="bottom"/>
        <w:rPr>
          <w:rFonts w:ascii="微軟正黑體" w:eastAsia="微軟正黑體" w:hAnsi="微軟正黑體" w:cs="微軟正黑體"/>
          <w:sz w:val="52"/>
          <w:szCs w:val="52"/>
          <w:u w:val="single"/>
        </w:rPr>
      </w:pPr>
      <w:r>
        <w:rPr>
          <w:rFonts w:ascii="微軟正黑體" w:eastAsia="微軟正黑體" w:hAnsi="微軟正黑體" w:cs="微軟正黑體"/>
          <w:sz w:val="52"/>
          <w:szCs w:val="52"/>
          <w:u w:val="single"/>
        </w:rPr>
        <w:t>0 目　錄 0</w:t>
      </w:r>
      <w:bookmarkEnd w:id="0"/>
    </w:p>
    <w:sdt>
      <w:sdtPr>
        <w:id w:val="-403683572"/>
        <w:docPartObj>
          <w:docPartGallery w:val="Table of Contents"/>
          <w:docPartUnique/>
        </w:docPartObj>
      </w:sdtPr>
      <w:sdtContent>
        <w:p w14:paraId="70C8CFA5" w14:textId="77777777" w:rsidR="006D5DBA" w:rsidRDefault="00000000">
          <w:pPr>
            <w:pStyle w:val="14"/>
            <w:rPr>
              <w:rFonts w:ascii="微軟正黑體" w:eastAsia="微軟正黑體" w:hAnsi="微軟正黑體" w:cs="微軟正黑體"/>
              <w:kern w:val="2"/>
              <w:sz w:val="40"/>
              <w:szCs w:val="40"/>
              <w:lang w:eastAsia="en-US"/>
            </w:rPr>
          </w:pPr>
          <w:r>
            <w:fldChar w:fldCharType="begin"/>
          </w:r>
          <w:r>
            <w:rPr>
              <w:rStyle w:val="IndexLink"/>
              <w:rFonts w:ascii="微軟正黑體" w:eastAsia="微軟正黑體" w:hAnsi="微軟正黑體" w:cs="微軟正黑體"/>
              <w:bCs/>
              <w:sz w:val="40"/>
              <w:szCs w:val="40"/>
              <w:lang w:eastAsia="en-US"/>
            </w:rPr>
            <w:instrText xml:space="preserve"> TOC \o "1-1" \h \z \u </w:instrText>
          </w:r>
          <w:r>
            <w:rPr>
              <w:rStyle w:val="IndexLink"/>
              <w:rFonts w:ascii="微軟正黑體" w:eastAsia="微軟正黑體" w:hAnsi="微軟正黑體" w:cs="微軟正黑體"/>
              <w:bCs/>
              <w:sz w:val="40"/>
              <w:szCs w:val="40"/>
              <w:lang w:eastAsia="en-US"/>
            </w:rPr>
            <w:fldChar w:fldCharType="separate"/>
          </w:r>
          <w:hyperlink w:anchor="__RefHeading___Toc497731291">
            <w:r>
              <w:rPr>
                <w:rStyle w:val="IndexLink"/>
                <w:rFonts w:ascii="微軟正黑體" w:eastAsia="微軟正黑體" w:hAnsi="微軟正黑體" w:cs="微軟正黑體"/>
                <w:bCs/>
                <w:sz w:val="40"/>
                <w:szCs w:val="40"/>
                <w:lang w:eastAsia="en-US"/>
              </w:rPr>
              <w:t>壹、施工地點及範圍</w:t>
            </w:r>
            <w:r>
              <w:rPr>
                <w:rStyle w:val="IndexLink"/>
                <w:rFonts w:ascii="微軟正黑體" w:eastAsia="微軟正黑體" w:hAnsi="微軟正黑體" w:cs="微軟正黑體"/>
                <w:sz w:val="40"/>
                <w:szCs w:val="40"/>
                <w:lang w:eastAsia="en-US"/>
              </w:rPr>
              <w:tab/>
              <w:t>2</w:t>
            </w:r>
          </w:hyperlink>
        </w:p>
        <w:p w14:paraId="62D2ED11"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2">
            <w:r>
              <w:rPr>
                <w:rStyle w:val="IndexLink"/>
                <w:rFonts w:ascii="微軟正黑體" w:eastAsia="微軟正黑體" w:hAnsi="微軟正黑體" w:cs="微軟正黑體"/>
                <w:bCs/>
                <w:sz w:val="40"/>
                <w:szCs w:val="40"/>
                <w:lang w:eastAsia="en-US"/>
              </w:rPr>
              <w:t>貳、施工規範</w:t>
            </w:r>
            <w:r>
              <w:rPr>
                <w:rStyle w:val="IndexLink"/>
                <w:rFonts w:ascii="微軟正黑體" w:eastAsia="微軟正黑體" w:hAnsi="微軟正黑體" w:cs="微軟正黑體"/>
                <w:sz w:val="40"/>
                <w:szCs w:val="40"/>
                <w:lang w:eastAsia="en-US"/>
              </w:rPr>
              <w:tab/>
              <w:t>3</w:t>
            </w:r>
          </w:hyperlink>
        </w:p>
        <w:p w14:paraId="50DD9664"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3">
            <w:r>
              <w:rPr>
                <w:rStyle w:val="IndexLink"/>
                <w:rFonts w:ascii="微軟正黑體" w:eastAsia="微軟正黑體" w:hAnsi="微軟正黑體" w:cs="微軟正黑體"/>
                <w:bCs/>
                <w:sz w:val="40"/>
                <w:szCs w:val="40"/>
                <w:lang w:eastAsia="en-US"/>
              </w:rPr>
              <w:t>參、工作環境、危害因素說明</w:t>
            </w:r>
            <w:r>
              <w:rPr>
                <w:rStyle w:val="IndexLink"/>
                <w:rFonts w:ascii="微軟正黑體" w:eastAsia="微軟正黑體" w:hAnsi="微軟正黑體" w:cs="微軟正黑體"/>
                <w:sz w:val="40"/>
                <w:szCs w:val="40"/>
                <w:lang w:eastAsia="en-US"/>
              </w:rPr>
              <w:tab/>
              <w:t>5</w:t>
            </w:r>
          </w:hyperlink>
        </w:p>
        <w:p w14:paraId="5FDF65C6"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4">
            <w:r>
              <w:rPr>
                <w:rStyle w:val="IndexLink"/>
                <w:rFonts w:ascii="微軟正黑體" w:eastAsia="微軟正黑體" w:hAnsi="微軟正黑體" w:cs="微軟正黑體"/>
                <w:bCs/>
                <w:sz w:val="40"/>
                <w:szCs w:val="40"/>
                <w:lang w:eastAsia="en-US"/>
              </w:rPr>
              <w:t>肆、施工安全衛生注意</w:t>
            </w:r>
            <w:r>
              <w:rPr>
                <w:rStyle w:val="IndexLink"/>
                <w:rFonts w:ascii="微軟正黑體" w:eastAsia="微軟正黑體" w:hAnsi="微軟正黑體" w:cs="微軟正黑體"/>
                <w:sz w:val="40"/>
                <w:szCs w:val="40"/>
                <w:lang w:eastAsia="en-US"/>
              </w:rPr>
              <w:tab/>
              <w:t>6</w:t>
            </w:r>
          </w:hyperlink>
        </w:p>
        <w:p w14:paraId="185048E7"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5">
            <w:r>
              <w:rPr>
                <w:rStyle w:val="IndexLink"/>
                <w:rFonts w:ascii="微軟正黑體" w:eastAsia="微軟正黑體" w:hAnsi="微軟正黑體" w:cs="微軟正黑體"/>
                <w:bCs/>
                <w:sz w:val="40"/>
                <w:szCs w:val="40"/>
                <w:lang w:eastAsia="en-US"/>
              </w:rPr>
              <w:t>伍、文件規格</w:t>
            </w:r>
            <w:r>
              <w:rPr>
                <w:rStyle w:val="IndexLink"/>
                <w:rFonts w:ascii="微軟正黑體" w:eastAsia="微軟正黑體" w:hAnsi="微軟正黑體" w:cs="微軟正黑體"/>
                <w:sz w:val="40"/>
                <w:szCs w:val="40"/>
                <w:lang w:eastAsia="en-US"/>
              </w:rPr>
              <w:tab/>
              <w:t>7</w:t>
            </w:r>
          </w:hyperlink>
        </w:p>
        <w:p w14:paraId="5B0995F1"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6">
            <w:r>
              <w:rPr>
                <w:rStyle w:val="IndexLink"/>
                <w:rFonts w:ascii="微軟正黑體" w:eastAsia="微軟正黑體" w:hAnsi="微軟正黑體" w:cs="微軟正黑體"/>
                <w:bCs/>
                <w:sz w:val="40"/>
                <w:szCs w:val="40"/>
                <w:lang w:eastAsia="en-US"/>
              </w:rPr>
              <w:t>陸、驗收規定</w:t>
            </w:r>
            <w:r>
              <w:rPr>
                <w:rStyle w:val="IndexLink"/>
                <w:rFonts w:ascii="微軟正黑體" w:eastAsia="微軟正黑體" w:hAnsi="微軟正黑體" w:cs="微軟正黑體"/>
                <w:sz w:val="40"/>
                <w:szCs w:val="40"/>
                <w:lang w:eastAsia="en-US"/>
              </w:rPr>
              <w:tab/>
              <w:t>7</w:t>
            </w:r>
          </w:hyperlink>
        </w:p>
        <w:p w14:paraId="19CA1818"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7">
            <w:r>
              <w:rPr>
                <w:rStyle w:val="IndexLink"/>
                <w:rFonts w:ascii="微軟正黑體" w:eastAsia="微軟正黑體" w:hAnsi="微軟正黑體" w:cs="微軟正黑體"/>
                <w:bCs/>
                <w:sz w:val="40"/>
                <w:szCs w:val="40"/>
                <w:lang w:eastAsia="en-US"/>
              </w:rPr>
              <w:t>柒、保固期</w:t>
            </w:r>
            <w:r>
              <w:rPr>
                <w:rStyle w:val="IndexLink"/>
                <w:rFonts w:ascii="微軟正黑體" w:eastAsia="微軟正黑體" w:hAnsi="微軟正黑體" w:cs="微軟正黑體"/>
                <w:sz w:val="40"/>
                <w:szCs w:val="40"/>
                <w:lang w:eastAsia="en-US"/>
              </w:rPr>
              <w:tab/>
              <w:t>7</w:t>
            </w:r>
          </w:hyperlink>
        </w:p>
        <w:p w14:paraId="790B0684"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8">
            <w:r>
              <w:rPr>
                <w:rStyle w:val="IndexLink"/>
                <w:rFonts w:ascii="微軟正黑體" w:eastAsia="微軟正黑體" w:hAnsi="微軟正黑體" w:cs="微軟正黑體"/>
                <w:bCs/>
                <w:sz w:val="40"/>
                <w:szCs w:val="40"/>
                <w:lang w:eastAsia="en-US"/>
              </w:rPr>
              <w:t>捌、完工期限</w:t>
            </w:r>
            <w:r>
              <w:rPr>
                <w:rStyle w:val="IndexLink"/>
                <w:rFonts w:ascii="微軟正黑體" w:eastAsia="微軟正黑體" w:hAnsi="微軟正黑體" w:cs="微軟正黑體"/>
                <w:sz w:val="40"/>
                <w:szCs w:val="40"/>
                <w:lang w:eastAsia="en-US"/>
              </w:rPr>
              <w:tab/>
              <w:t>7</w:t>
            </w:r>
          </w:hyperlink>
        </w:p>
        <w:p w14:paraId="3705DFD4"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9">
            <w:r>
              <w:rPr>
                <w:rStyle w:val="IndexLink"/>
                <w:rFonts w:ascii="微軟正黑體" w:eastAsia="微軟正黑體" w:hAnsi="微軟正黑體" w:cs="微軟正黑體"/>
                <w:bCs/>
                <w:sz w:val="40"/>
                <w:szCs w:val="40"/>
                <w:lang w:eastAsia="en-US"/>
              </w:rPr>
              <w:t>玖、附件</w:t>
            </w:r>
            <w:r>
              <w:rPr>
                <w:rStyle w:val="IndexLink"/>
                <w:rFonts w:ascii="微軟正黑體" w:eastAsia="微軟正黑體" w:hAnsi="微軟正黑體" w:cs="微軟正黑體"/>
                <w:sz w:val="40"/>
                <w:szCs w:val="40"/>
                <w:lang w:eastAsia="en-US"/>
              </w:rPr>
              <w:tab/>
              <w:t>7</w:t>
            </w:r>
          </w:hyperlink>
          <w:r>
            <w:rPr>
              <w:rStyle w:val="IndexLink"/>
              <w:rFonts w:ascii="微軟正黑體" w:eastAsia="微軟正黑體" w:hAnsi="微軟正黑體" w:cs="微軟正黑體"/>
              <w:sz w:val="40"/>
              <w:szCs w:val="40"/>
              <w:lang w:eastAsia="en-US"/>
            </w:rPr>
            <w:fldChar w:fldCharType="end"/>
          </w:r>
        </w:p>
      </w:sdtContent>
    </w:sdt>
    <w:p w14:paraId="776894D0" w14:textId="77777777" w:rsidR="006D5DBA" w:rsidRDefault="00000000">
      <w:pPr>
        <w:widowControl/>
        <w:autoSpaceDE w:val="0"/>
        <w:spacing w:before="180" w:after="180" w:line="240" w:lineRule="atLeast"/>
        <w:ind w:left="2269" w:right="565"/>
        <w:jc w:val="both"/>
        <w:textAlignment w:val="bottom"/>
      </w:pPr>
      <w:r>
        <w:rPr>
          <w:rFonts w:ascii="微軟正黑體" w:eastAsia="微軟正黑體" w:hAnsi="微軟正黑體" w:cs="微軟正黑體"/>
          <w:sz w:val="36"/>
          <w:szCs w:val="36"/>
        </w:rPr>
        <w:t xml:space="preserve">部        門：       L100 </w:t>
      </w:r>
      <w:proofErr w:type="gramStart"/>
      <w:r>
        <w:rPr>
          <w:rFonts w:ascii="微軟正黑體" w:eastAsia="微軟正黑體" w:hAnsi="微軟正黑體" w:cs="微軟正黑體"/>
          <w:sz w:val="36"/>
          <w:szCs w:val="36"/>
        </w:rPr>
        <w:t xml:space="preserve">  .</w:t>
      </w:r>
      <w:proofErr w:type="gramEnd"/>
    </w:p>
    <w:p w14:paraId="0221F6BD" w14:textId="010F4587" w:rsidR="006D5DBA" w:rsidRDefault="00000000">
      <w:pPr>
        <w:widowControl/>
        <w:autoSpaceDE w:val="0"/>
        <w:spacing w:before="180" w:after="180" w:line="240" w:lineRule="atLeast"/>
        <w:ind w:left="2269" w:right="565"/>
        <w:jc w:val="both"/>
        <w:textAlignment w:val="bottom"/>
        <w:rPr>
          <w:rFonts w:ascii="微軟正黑體" w:eastAsia="微軟正黑體" w:hAnsi="微軟正黑體" w:cs="微軟正黑體"/>
          <w:sz w:val="36"/>
          <w:szCs w:val="36"/>
          <w:u w:val="single"/>
        </w:rPr>
      </w:pPr>
      <w:r>
        <w:rPr>
          <w:rFonts w:ascii="微軟正黑體" w:eastAsia="微軟正黑體" w:hAnsi="微軟正黑體" w:cs="微軟正黑體"/>
          <w:sz w:val="36"/>
          <w:szCs w:val="36"/>
        </w:rPr>
        <w:t xml:space="preserve">工  程  師： </w:t>
      </w:r>
      <w:r>
        <w:rPr>
          <w:rFonts w:ascii="微軟正黑體" w:eastAsia="微軟正黑體" w:hAnsi="微軟正黑體" w:cs="微軟正黑體"/>
          <w:sz w:val="36"/>
          <w:szCs w:val="36"/>
          <w:u w:val="single"/>
        </w:rPr>
        <w:t xml:space="preserve">     </w:t>
      </w:r>
    </w:p>
    <w:p w14:paraId="6C0357D8" w14:textId="41EB04FD" w:rsidR="006D5DBA" w:rsidRDefault="00000000">
      <w:pPr>
        <w:widowControl/>
        <w:autoSpaceDE w:val="0"/>
        <w:spacing w:before="180" w:after="180" w:line="240" w:lineRule="atLeast"/>
        <w:ind w:left="2269" w:right="565"/>
        <w:jc w:val="both"/>
        <w:textAlignment w:val="bottom"/>
        <w:rPr>
          <w:rFonts w:ascii="微軟正黑體" w:eastAsia="微軟正黑體" w:hAnsi="微軟正黑體" w:cs="微軟正黑體"/>
          <w:sz w:val="36"/>
          <w:szCs w:val="36"/>
          <w:u w:val="single"/>
        </w:rPr>
        <w:sectPr w:rsidR="006D5DBA">
          <w:headerReference w:type="default" r:id="rId7"/>
          <w:footerReference w:type="default" r:id="rId8"/>
          <w:pgSz w:w="11906" w:h="16838"/>
          <w:pgMar w:top="623" w:right="1559" w:bottom="720" w:left="1559" w:header="567" w:footer="567" w:gutter="0"/>
          <w:pgNumType w:start="1"/>
          <w:cols w:space="720"/>
          <w:formProt w:val="0"/>
          <w:docGrid w:linePitch="326"/>
        </w:sectPr>
      </w:pPr>
      <w:r>
        <w:rPr>
          <w:rFonts w:ascii="微軟正黑體" w:eastAsia="微軟正黑體" w:hAnsi="微軟正黑體" w:cs="微軟正黑體"/>
          <w:sz w:val="36"/>
          <w:szCs w:val="36"/>
        </w:rPr>
        <w:t xml:space="preserve">直屬主管： </w:t>
      </w:r>
      <w:r>
        <w:rPr>
          <w:rFonts w:ascii="微軟正黑體" w:eastAsia="微軟正黑體" w:hAnsi="微軟正黑體" w:cs="微軟正黑體"/>
          <w:sz w:val="36"/>
          <w:szCs w:val="36"/>
          <w:u w:val="single"/>
        </w:rPr>
        <w:t xml:space="preserve">  </w:t>
      </w:r>
    </w:p>
    <w:p w14:paraId="574DF999" w14:textId="77777777" w:rsidR="006D5DBA" w:rsidRDefault="00000000">
      <w:pPr>
        <w:spacing w:line="240" w:lineRule="atLeast"/>
        <w:ind w:firstLine="480"/>
        <w:jc w:val="both"/>
        <w:rPr>
          <w:rFonts w:ascii="微軟正黑體" w:eastAsia="微軟正黑體" w:hAnsi="微軟正黑體" w:cs="微軟正黑體"/>
          <w:color w:val="000000"/>
          <w:szCs w:val="24"/>
        </w:rPr>
      </w:pPr>
      <w:r>
        <w:rPr>
          <w:rFonts w:ascii="微軟正黑體" w:eastAsia="微軟正黑體" w:hAnsi="微軟正黑體" w:cs="微軟正黑體"/>
          <w:color w:val="000000"/>
          <w:szCs w:val="24"/>
        </w:rPr>
        <w:lastRenderedPageBreak/>
        <w:t>本作業報價承攬商應會同業主承辦工程師至現場，確實了解作業現場各項狀況及所需配合事項；如因未能了解現場狀況，所導致之一切後果，概由承攬商自行負責。</w:t>
      </w:r>
    </w:p>
    <w:p w14:paraId="656D445D" w14:textId="77777777" w:rsidR="006D5DBA" w:rsidRDefault="00000000">
      <w:pPr>
        <w:spacing w:line="240" w:lineRule="atLeast"/>
        <w:ind w:firstLine="480"/>
        <w:jc w:val="both"/>
        <w:rPr>
          <w:rFonts w:ascii="微軟正黑體" w:eastAsia="微軟正黑體" w:hAnsi="微軟正黑體" w:cs="微軟正黑體"/>
          <w:color w:val="000000"/>
          <w:szCs w:val="24"/>
        </w:rPr>
      </w:pPr>
      <w:r>
        <w:rPr>
          <w:rFonts w:ascii="微軟正黑體" w:eastAsia="微軟正黑體" w:hAnsi="微軟正黑體" w:cs="微軟正黑體"/>
          <w:color w:val="000000"/>
          <w:szCs w:val="24"/>
        </w:rPr>
        <w:t>作業中因需配合現場實際狀況作修改或材料隨物價波動所產生之費用，承攬商需自行評估實際現況來調整作業費用。</w:t>
      </w:r>
    </w:p>
    <w:p w14:paraId="2BE47F33" w14:textId="77777777" w:rsidR="006D5DBA" w:rsidRDefault="00000000">
      <w:pPr>
        <w:spacing w:line="240" w:lineRule="atLeast"/>
        <w:ind w:firstLine="480"/>
        <w:jc w:val="both"/>
        <w:rPr>
          <w:rFonts w:ascii="微軟正黑體" w:eastAsia="微軟正黑體" w:hAnsi="微軟正黑體" w:cs="微軟正黑體"/>
          <w:bCs/>
          <w:color w:val="000000"/>
          <w:szCs w:val="24"/>
        </w:rPr>
      </w:pPr>
      <w:r>
        <w:rPr>
          <w:rFonts w:ascii="微軟正黑體" w:eastAsia="微軟正黑體" w:hAnsi="微軟正黑體" w:cs="微軟正黑體"/>
          <w:color w:val="000000"/>
          <w:szCs w:val="24"/>
        </w:rPr>
        <w:t>除經業主核准之契約變更外，承攬商不得以報價前已可查知之現場條件為由任意追加作業費用。</w:t>
      </w:r>
    </w:p>
    <w:p w14:paraId="77F09214" w14:textId="77777777" w:rsidR="006D5DBA" w:rsidRDefault="006D5DBA">
      <w:pPr>
        <w:widowControl/>
        <w:autoSpaceDE w:val="0"/>
        <w:spacing w:line="240" w:lineRule="atLeast"/>
        <w:jc w:val="both"/>
        <w:textAlignment w:val="bottom"/>
        <w:rPr>
          <w:rFonts w:ascii="微軟正黑體" w:eastAsia="微軟正黑體" w:hAnsi="微軟正黑體" w:cs="微軟正黑體"/>
          <w:bCs/>
          <w:color w:val="000000"/>
          <w:sz w:val="26"/>
          <w:szCs w:val="24"/>
        </w:rPr>
      </w:pPr>
    </w:p>
    <w:p w14:paraId="6320FF33"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1" w:name="__RefHeading___Toc497731291"/>
      <w:bookmarkEnd w:id="1"/>
      <w:r>
        <w:rPr>
          <w:rFonts w:ascii="微軟正黑體" w:eastAsia="微軟正黑體" w:hAnsi="微軟正黑體" w:cs="微軟正黑體"/>
          <w:bCs/>
          <w:sz w:val="28"/>
          <w:szCs w:val="28"/>
        </w:rPr>
        <w:t>壹、施工地點及範圍</w:t>
      </w:r>
    </w:p>
    <w:p w14:paraId="03EB4423" w14:textId="21271CA4" w:rsidR="006D5DBA" w:rsidRDefault="00000000">
      <w:pPr>
        <w:widowControl/>
        <w:numPr>
          <w:ilvl w:val="1"/>
          <w:numId w:val="15"/>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作業名稱：17館1F機房冰水管路及AH3空調箱保溫維護</w:t>
      </w:r>
    </w:p>
    <w:p w14:paraId="73A1A8CF" w14:textId="77777777" w:rsidR="006D5DBA" w:rsidRDefault="00000000">
      <w:pPr>
        <w:widowControl/>
        <w:numPr>
          <w:ilvl w:val="1"/>
          <w:numId w:val="15"/>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地點：中興院區17館1F廠</w:t>
      </w:r>
      <w:proofErr w:type="gramStart"/>
      <w:r>
        <w:rPr>
          <w:rFonts w:ascii="微軟正黑體" w:eastAsia="微軟正黑體" w:hAnsi="微軟正黑體" w:cs="微軟正黑體"/>
          <w:szCs w:val="24"/>
        </w:rPr>
        <w:t>務</w:t>
      </w:r>
      <w:proofErr w:type="gramEnd"/>
      <w:r>
        <w:rPr>
          <w:rFonts w:ascii="微軟正黑體" w:eastAsia="微軟正黑體" w:hAnsi="微軟正黑體" w:cs="微軟正黑體"/>
          <w:szCs w:val="24"/>
        </w:rPr>
        <w:t>區，如圖1所示，一切以完成本次施工範圍所涵蓋之區域皆屬之。</w:t>
      </w:r>
    </w:p>
    <w:p w14:paraId="1BD612F3" w14:textId="77777777" w:rsidR="006D5DBA" w:rsidRDefault="00000000">
      <w:pPr>
        <w:pStyle w:val="Web"/>
        <w:ind w:left="-142"/>
        <w:rPr>
          <w:rFonts w:ascii="微軟正黑體" w:eastAsia="微軟正黑體" w:hAnsi="微軟正黑體" w:cs="微軟正黑體"/>
        </w:rPr>
      </w:pPr>
      <w:r>
        <w:rPr>
          <w:rFonts w:ascii="微軟正黑體" w:eastAsia="微軟正黑體" w:hAnsi="微軟正黑體" w:cs="微軟正黑體"/>
          <w:noProof/>
          <w:lang w:eastAsia="en-US"/>
        </w:rPr>
        <mc:AlternateContent>
          <mc:Choice Requires="wps">
            <w:drawing>
              <wp:anchor distT="0" distB="0" distL="114935" distR="114935" simplePos="0" relativeHeight="10" behindDoc="0" locked="0" layoutInCell="1" allowOverlap="1" wp14:anchorId="70E8FDE0" wp14:editId="35606B4B">
                <wp:simplePos x="0" y="0"/>
                <wp:positionH relativeFrom="column">
                  <wp:posOffset>1362075</wp:posOffset>
                </wp:positionH>
                <wp:positionV relativeFrom="paragraph">
                  <wp:posOffset>1911350</wp:posOffset>
                </wp:positionV>
                <wp:extent cx="314325" cy="190500"/>
                <wp:effectExtent l="5715" t="5080" r="4445" b="5080"/>
                <wp:wrapNone/>
                <wp:docPr id="2" name="矩形 2"/>
                <wp:cNvGraphicFramePr/>
                <a:graphic xmlns:a="http://schemas.openxmlformats.org/drawingml/2006/main">
                  <a:graphicData uri="http://schemas.microsoft.com/office/word/2010/wordprocessingShape">
                    <wps:wsp>
                      <wps:cNvSpPr/>
                      <wps:spPr>
                        <a:xfrm>
                          <a:off x="0" y="0"/>
                          <a:ext cx="314280" cy="190440"/>
                        </a:xfrm>
                        <a:prstGeom prst="rect">
                          <a:avLst/>
                        </a:prstGeom>
                        <a:solidFill>
                          <a:srgbClr val="FFFFFF"/>
                        </a:solidFill>
                        <a:ln w="936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01B0F800" id="矩形 2" o:spid="_x0000_s1026" style="position:absolute;margin-left:107.25pt;margin-top:150.5pt;width:24.75pt;height:15pt;z-index:1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" strokecolor="white" strokeweight=".26mm"/>
            </w:pict>
          </mc:Fallback>
        </mc:AlternateContent>
      </w:r>
      <w:r>
        <w:rPr>
          <w:rFonts w:ascii="微軟正黑體" w:eastAsia="微軟正黑體" w:hAnsi="微軟正黑體" w:cs="微軟正黑體"/>
          <w:noProof/>
          <w:lang w:eastAsia="en-US"/>
        </w:rPr>
        <mc:AlternateContent>
          <mc:Choice Requires="wps">
            <w:drawing>
              <wp:anchor distT="0" distB="0" distL="114935" distR="114300" simplePos="0" relativeHeight="11" behindDoc="0" locked="0" layoutInCell="1" allowOverlap="1" wp14:anchorId="4F00EBE5" wp14:editId="71668D40">
                <wp:simplePos x="0" y="0"/>
                <wp:positionH relativeFrom="column">
                  <wp:posOffset>809625</wp:posOffset>
                </wp:positionH>
                <wp:positionV relativeFrom="paragraph">
                  <wp:posOffset>1911350</wp:posOffset>
                </wp:positionV>
                <wp:extent cx="333375" cy="190500"/>
                <wp:effectExtent l="635" t="0" r="0" b="0"/>
                <wp:wrapNone/>
                <wp:docPr id="3" name="矩形 3"/>
                <wp:cNvGraphicFramePr/>
                <a:graphic xmlns:a="http://schemas.openxmlformats.org/drawingml/2006/main">
                  <a:graphicData uri="http://schemas.microsoft.com/office/word/2010/wordprocessingShape">
                    <wps:wsp>
                      <wps:cNvSpPr/>
                      <wps:spPr>
                        <a:xfrm>
                          <a:off x="0" y="0"/>
                          <a:ext cx="333360" cy="19044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4DFBDEB6" id="矩形 3" o:spid="_x0000_s1026" style="position:absolute;margin-left:63.75pt;margin-top:150.5pt;width:26.25pt;height:15pt;z-index:11;visibility:visible;mso-wrap-style:square;mso-wrap-distance-left:9.0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" stroked="f" strokeweight="0"/>
            </w:pict>
          </mc:Fallback>
        </mc:AlternateContent>
      </w:r>
      <w:r>
        <w:rPr>
          <w:rFonts w:ascii="微軟正黑體" w:eastAsia="微軟正黑體" w:hAnsi="微軟正黑體" w:cs="微軟正黑體"/>
          <w:noProof/>
          <w:lang w:eastAsia="en-US"/>
        </w:rPr>
        <mc:AlternateContent>
          <mc:Choice Requires="wps">
            <w:drawing>
              <wp:anchor distT="0" distB="0" distL="114935" distR="114935" simplePos="0" relativeHeight="12" behindDoc="0" locked="0" layoutInCell="1" allowOverlap="1" wp14:anchorId="0645C105" wp14:editId="3D0A9E87">
                <wp:simplePos x="0" y="0"/>
                <wp:positionH relativeFrom="column">
                  <wp:posOffset>609600</wp:posOffset>
                </wp:positionH>
                <wp:positionV relativeFrom="paragraph">
                  <wp:posOffset>1301750</wp:posOffset>
                </wp:positionV>
                <wp:extent cx="819150" cy="1057275"/>
                <wp:effectExtent l="5080" t="5715" r="5080" b="4445"/>
                <wp:wrapNone/>
                <wp:docPr id="4" name="矩形 4"/>
                <wp:cNvGraphicFramePr/>
                <a:graphic xmlns:a="http://schemas.openxmlformats.org/drawingml/2006/main">
                  <a:graphicData uri="http://schemas.microsoft.com/office/word/2010/wordprocessingShape">
                    <wps:wsp>
                      <wps:cNvSpPr/>
                      <wps:spPr>
                        <a:xfrm>
                          <a:off x="0" y="0"/>
                          <a:ext cx="819000" cy="1057320"/>
                        </a:xfrm>
                        <a:prstGeom prst="rect">
                          <a:avLst/>
                        </a:prstGeom>
                        <a:solidFill>
                          <a:srgbClr val="9CC2E5">
                            <a:alpha val="50000"/>
                          </a:srgbClr>
                        </a:solidFill>
                        <a:ln w="9360">
                          <a:solidFill>
                            <a:srgbClr val="000000">
                              <a:alpha val="50000"/>
                            </a:srgbClr>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7FA9AD0A" id="矩形 4" o:spid="_x0000_s1026" style="position:absolute;margin-left:48pt;margin-top:102.5pt;width:64.5pt;height:83.25pt;z-index:1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" fillcolor="#9cc2e5" strokeweight=".26mm">
                <v:fill opacity="32896f"/>
                <v:stroke opacity="32896f"/>
              </v:rect>
            </w:pict>
          </mc:Fallback>
        </mc:AlternateContent>
      </w:r>
      <w:r>
        <w:rPr>
          <w:rFonts w:ascii="微軟正黑體" w:eastAsia="微軟正黑體" w:hAnsi="微軟正黑體" w:cs="微軟正黑體"/>
          <w:noProof/>
          <w:lang w:eastAsia="en-US"/>
        </w:rPr>
        <w:drawing>
          <wp:inline distT="0" distB="0" distL="0" distR="0" wp14:anchorId="5B708658" wp14:editId="06DECDFE">
            <wp:extent cx="6109335" cy="3914775"/>
            <wp:effectExtent l="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1"/>
                    <pic:cNvPicPr>
                      <a:picLocks noChangeAspect="1" noChangeArrowheads="1"/>
                    </pic:cNvPicPr>
                  </pic:nvPicPr>
                  <pic:blipFill>
                    <a:blip r:embed="rId9"/>
                    <a:srcRect l="-5" t="-8" r="-5" b="-8"/>
                    <a:stretch>
                      <a:fillRect/>
                    </a:stretch>
                  </pic:blipFill>
                  <pic:spPr bwMode="auto">
                    <a:xfrm>
                      <a:off x="0" y="0"/>
                      <a:ext cx="6109335" cy="3914775"/>
                    </a:xfrm>
                    <a:prstGeom prst="rect">
                      <a:avLst/>
                    </a:prstGeom>
                    <a:noFill/>
                  </pic:spPr>
                </pic:pic>
              </a:graphicData>
            </a:graphic>
          </wp:inline>
        </w:drawing>
      </w:r>
    </w:p>
    <w:p w14:paraId="7EA1B097" w14:textId="77777777" w:rsidR="006D5DBA" w:rsidRDefault="00000000">
      <w:pPr>
        <w:widowControl/>
        <w:autoSpaceDE w:val="0"/>
        <w:spacing w:line="240" w:lineRule="atLeast"/>
        <w:ind w:left="1038"/>
        <w:jc w:val="center"/>
        <w:textAlignment w:val="bottom"/>
        <w:rPr>
          <w:rFonts w:ascii="微軟正黑體" w:eastAsia="微軟正黑體" w:hAnsi="微軟正黑體" w:cs="微軟正黑體"/>
          <w:szCs w:val="24"/>
        </w:rPr>
      </w:pPr>
      <w:r>
        <w:rPr>
          <w:rFonts w:ascii="微軟正黑體" w:eastAsia="微軟正黑體" w:hAnsi="微軟正黑體" w:cs="微軟正黑體"/>
          <w:szCs w:val="24"/>
        </w:rPr>
        <w:t xml:space="preserve">圖 </w:t>
      </w:r>
      <w:r>
        <w:rPr>
          <w:rFonts w:ascii="微軟正黑體" w:eastAsia="微軟正黑體" w:hAnsi="微軟正黑體" w:cs="微軟正黑體"/>
          <w:szCs w:val="24"/>
        </w:rPr>
        <w:fldChar w:fldCharType="begin"/>
      </w:r>
      <w:r>
        <w:rPr>
          <w:rFonts w:ascii="微軟正黑體" w:eastAsia="微軟正黑體" w:hAnsi="微軟正黑體" w:cs="微軟正黑體"/>
          <w:szCs w:val="24"/>
        </w:rPr>
        <w:instrText xml:space="preserve"> SEQ 圖 \* ARABIC </w:instrText>
      </w:r>
      <w:r>
        <w:rPr>
          <w:rFonts w:ascii="微軟正黑體" w:eastAsia="微軟正黑體" w:hAnsi="微軟正黑體" w:cs="微軟正黑體"/>
          <w:szCs w:val="24"/>
        </w:rPr>
        <w:fldChar w:fldCharType="separate"/>
      </w:r>
      <w:r>
        <w:rPr>
          <w:rFonts w:ascii="微軟正黑體" w:eastAsia="微軟正黑體" w:hAnsi="微軟正黑體" w:cs="微軟正黑體"/>
          <w:szCs w:val="24"/>
        </w:rPr>
        <w:t>1</w:t>
      </w:r>
      <w:r>
        <w:rPr>
          <w:rFonts w:ascii="微軟正黑體" w:eastAsia="微軟正黑體" w:hAnsi="微軟正黑體" w:cs="微軟正黑體"/>
          <w:szCs w:val="24"/>
        </w:rPr>
        <w:fldChar w:fldCharType="end"/>
      </w:r>
      <w:r>
        <w:rPr>
          <w:rFonts w:ascii="微軟正黑體" w:eastAsia="微軟正黑體" w:hAnsi="微軟正黑體" w:cs="微軟正黑體"/>
          <w:szCs w:val="24"/>
        </w:rPr>
        <w:t>. 17館1F本案施工範圍及出入動線</w:t>
      </w:r>
    </w:p>
    <w:p w14:paraId="1C009987" w14:textId="7C46AF28" w:rsidR="006D5DBA" w:rsidRDefault="00000000">
      <w:pPr>
        <w:widowControl/>
        <w:numPr>
          <w:ilvl w:val="1"/>
          <w:numId w:val="15"/>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範圍：指定區域之冰水</w:t>
      </w:r>
      <w:r w:rsidR="004909BC">
        <w:rPr>
          <w:rFonts w:ascii="微軟正黑體" w:eastAsia="微軟正黑體" w:hAnsi="微軟正黑體" w:cs="微軟正黑體" w:hint="eastAsia"/>
          <w:szCs w:val="24"/>
        </w:rPr>
        <w:t>回</w:t>
      </w:r>
      <w:r>
        <w:rPr>
          <w:rFonts w:ascii="微軟正黑體" w:eastAsia="微軟正黑體" w:hAnsi="微軟正黑體" w:cs="微軟正黑體"/>
          <w:szCs w:val="24"/>
        </w:rPr>
        <w:t>水管路保溫及AH3空調箱保溫維護作業。</w:t>
      </w:r>
    </w:p>
    <w:p w14:paraId="5E0E8F81" w14:textId="77777777" w:rsidR="006D5DBA" w:rsidRDefault="00000000">
      <w:pPr>
        <w:widowControl/>
        <w:numPr>
          <w:ilvl w:val="2"/>
          <w:numId w:val="15"/>
        </w:numPr>
        <w:autoSpaceDE w:val="0"/>
        <w:spacing w:line="240" w:lineRule="atLeast"/>
        <w:ind w:left="1071" w:hanging="113"/>
        <w:jc w:val="both"/>
        <w:textAlignment w:val="bottom"/>
        <w:rPr>
          <w:rFonts w:ascii="微軟正黑體" w:eastAsia="微軟正黑體" w:hAnsi="微軟正黑體" w:cs="微軟正黑體"/>
          <w:szCs w:val="24"/>
        </w:rPr>
      </w:pPr>
      <w:r>
        <w:rPr>
          <w:rFonts w:ascii="微軟正黑體" w:eastAsia="微軟正黑體" w:hAnsi="微軟正黑體" w:cs="微軟正黑體"/>
          <w:bCs/>
        </w:rPr>
        <w:t>作業內容說明：本施工規範內容未盡說明者不受此規範所限。本案文件之一切</w:t>
      </w:r>
      <w:proofErr w:type="gramStart"/>
      <w:r>
        <w:rPr>
          <w:rFonts w:ascii="微軟正黑體" w:eastAsia="微軟正黑體" w:hAnsi="微軟正黑體" w:cs="微軟正黑體"/>
          <w:bCs/>
        </w:rPr>
        <w:t>規定得互為</w:t>
      </w:r>
      <w:proofErr w:type="gramEnd"/>
      <w:r>
        <w:rPr>
          <w:rFonts w:ascii="微軟正黑體" w:eastAsia="微軟正黑體" w:hAnsi="微軟正黑體" w:cs="微軟正黑體"/>
          <w:bCs/>
        </w:rPr>
        <w:t>補充，其內容如有不一致之處，適用之優先順序如下：</w:t>
      </w:r>
    </w:p>
    <w:p w14:paraId="6FA4424B"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rPr>
        <w:t>訂單內容</w:t>
      </w:r>
    </w:p>
    <w:p w14:paraId="0B902FCF"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szCs w:val="24"/>
        </w:rPr>
        <w:t>本施工規範</w:t>
      </w:r>
    </w:p>
    <w:p w14:paraId="3586D5B7"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szCs w:val="24"/>
        </w:rPr>
        <w:t>本案決標</w:t>
      </w:r>
      <w:proofErr w:type="gramStart"/>
      <w:r>
        <w:rPr>
          <w:rFonts w:ascii="微軟正黑體" w:eastAsia="微軟正黑體" w:hAnsi="微軟正黑體" w:cs="微軟正黑體"/>
          <w:bCs/>
          <w:szCs w:val="24"/>
        </w:rPr>
        <w:t>標</w:t>
      </w:r>
      <w:proofErr w:type="gramEnd"/>
      <w:r>
        <w:rPr>
          <w:rFonts w:ascii="微軟正黑體" w:eastAsia="微軟正黑體" w:hAnsi="微軟正黑體" w:cs="微軟正黑體"/>
          <w:bCs/>
          <w:szCs w:val="24"/>
        </w:rPr>
        <w:t>單</w:t>
      </w:r>
    </w:p>
    <w:p w14:paraId="10C1AC31"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szCs w:val="24"/>
        </w:rPr>
        <w:t>其他</w:t>
      </w:r>
    </w:p>
    <w:p w14:paraId="70F79E0D" w14:textId="77777777" w:rsidR="006D5DBA" w:rsidRDefault="00000000">
      <w:pPr>
        <w:widowControl/>
        <w:numPr>
          <w:ilvl w:val="2"/>
          <w:numId w:val="15"/>
        </w:numPr>
        <w:autoSpaceDE w:val="0"/>
        <w:spacing w:line="240" w:lineRule="atLeast"/>
        <w:ind w:right="694"/>
        <w:jc w:val="both"/>
        <w:textAlignment w:val="bottom"/>
        <w:rPr>
          <w:rFonts w:ascii="微軟正黑體" w:eastAsia="微軟正黑體" w:hAnsi="微軟正黑體" w:cs="微軟正黑體"/>
          <w:bCs/>
          <w:szCs w:val="24"/>
        </w:rPr>
      </w:pPr>
      <w:r>
        <w:rPr>
          <w:rFonts w:ascii="微軟正黑體" w:eastAsia="微軟正黑體" w:hAnsi="微軟正黑體" w:cs="微軟正黑體"/>
          <w:bCs/>
        </w:rPr>
        <w:lastRenderedPageBreak/>
        <w:t>本作業工作項目內容簡述如下：</w:t>
      </w:r>
    </w:p>
    <w:p w14:paraId="66775926" w14:textId="77777777" w:rsidR="006D5DBA" w:rsidRDefault="00000000">
      <w:pPr>
        <w:widowControl/>
        <w:numPr>
          <w:ilvl w:val="3"/>
          <w:numId w:val="15"/>
        </w:numPr>
        <w:autoSpaceDE w:val="0"/>
        <w:spacing w:line="240" w:lineRule="atLeast"/>
        <w:ind w:left="1780" w:right="-22" w:hanging="340"/>
        <w:jc w:val="both"/>
        <w:textAlignment w:val="bottom"/>
        <w:rPr>
          <w:rFonts w:ascii="微軟正黑體" w:eastAsia="微軟正黑體" w:hAnsi="微軟正黑體" w:cs="微軟正黑體"/>
          <w:bCs/>
          <w:szCs w:val="24"/>
        </w:rPr>
      </w:pPr>
      <w:r>
        <w:rPr>
          <w:rFonts w:ascii="微軟正黑體" w:eastAsia="微軟正黑體" w:hAnsi="微軟正黑體" w:cs="微軟正黑體"/>
        </w:rPr>
        <w:t>本作業為責任施工，承攬商應負施工及品質之一切責任。</w:t>
      </w:r>
    </w:p>
    <w:p w14:paraId="0BA3ED89" w14:textId="77777777" w:rsidR="006D5DBA" w:rsidRDefault="00000000">
      <w:pPr>
        <w:pStyle w:val="ad"/>
        <w:keepNext/>
        <w:ind w:left="1080"/>
        <w:jc w:val="center"/>
      </w:pPr>
      <w:r>
        <w:rPr>
          <w:rFonts w:ascii="微軟正黑體" w:eastAsia="微軟正黑體" w:hAnsi="微軟正黑體" w:cs="微軟正黑體"/>
        </w:rPr>
        <w:fldChar w:fldCharType="begin"/>
      </w:r>
      <w:r>
        <w:rPr>
          <w:rFonts w:ascii="微軟正黑體" w:eastAsia="微軟正黑體" w:hAnsi="微軟正黑體" w:cs="微軟正黑體"/>
        </w:rPr>
        <w:instrText xml:space="preserve"> SEQ 表 \* ARABIC </w:instrText>
      </w:r>
      <w:r>
        <w:rPr>
          <w:rFonts w:ascii="微軟正黑體" w:eastAsia="微軟正黑體" w:hAnsi="微軟正黑體" w:cs="微軟正黑體"/>
        </w:rPr>
        <w:fldChar w:fldCharType="separate"/>
      </w:r>
      <w:r>
        <w:rPr>
          <w:rFonts w:ascii="微軟正黑體" w:eastAsia="微軟正黑體" w:hAnsi="微軟正黑體" w:cs="微軟正黑體"/>
        </w:rPr>
        <w:t>1</w:t>
      </w:r>
      <w:r>
        <w:rPr>
          <w:rFonts w:ascii="微軟正黑體" w:eastAsia="微軟正黑體" w:hAnsi="微軟正黑體" w:cs="微軟正黑體"/>
        </w:rPr>
        <w:fldChar w:fldCharType="end"/>
      </w:r>
      <w:r>
        <w:t>. 施工說明</w:t>
      </w:r>
    </w:p>
    <w:tbl>
      <w:tblPr>
        <w:tblW w:w="9464" w:type="dxa"/>
        <w:tblLayout w:type="fixed"/>
        <w:tblLook w:val="04A0" w:firstRow="1" w:lastRow="0" w:firstColumn="1" w:lastColumn="0" w:noHBand="0" w:noVBand="1"/>
      </w:tblPr>
      <w:tblGrid>
        <w:gridCol w:w="850"/>
        <w:gridCol w:w="2519"/>
        <w:gridCol w:w="3577"/>
        <w:gridCol w:w="2518"/>
      </w:tblGrid>
      <w:tr w:rsidR="006D5DBA" w14:paraId="36E70DAB" w14:textId="77777777">
        <w:trPr>
          <w:tblHead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DC555F" w14:textId="77777777" w:rsidR="006D5DBA" w:rsidRDefault="00000000">
            <w:pPr>
              <w:widowControl/>
              <w:autoSpaceDE w:val="0"/>
              <w:spacing w:line="240" w:lineRule="atLeast"/>
              <w:jc w:val="center"/>
              <w:textAlignment w:val="bottom"/>
              <w:rPr>
                <w:rFonts w:ascii="微軟正黑體" w:eastAsia="微軟正黑體" w:hAnsi="微軟正黑體" w:cs="微軟正黑體"/>
                <w:b/>
                <w:bCs/>
                <w:szCs w:val="24"/>
              </w:rPr>
            </w:pPr>
            <w:r>
              <w:rPr>
                <w:rFonts w:ascii="微軟正黑體" w:eastAsia="微軟正黑體" w:hAnsi="微軟正黑體" w:cs="微軟正黑體"/>
                <w:b/>
                <w:bCs/>
                <w:szCs w:val="24"/>
              </w:rPr>
              <w:t>項 次</w:t>
            </w:r>
          </w:p>
        </w:tc>
        <w:tc>
          <w:tcPr>
            <w:tcW w:w="25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C3E49E" w14:textId="77777777" w:rsidR="006D5DBA" w:rsidRDefault="00000000">
            <w:pPr>
              <w:widowControl/>
              <w:autoSpaceDE w:val="0"/>
              <w:spacing w:line="240" w:lineRule="atLeast"/>
              <w:ind w:right="31"/>
              <w:jc w:val="center"/>
              <w:textAlignment w:val="bottom"/>
            </w:pPr>
            <w:r>
              <w:rPr>
                <w:rFonts w:ascii="微軟正黑體" w:eastAsia="微軟正黑體" w:hAnsi="微軟正黑體" w:cs="微軟正黑體"/>
                <w:b/>
                <w:bCs/>
                <w:szCs w:val="24"/>
              </w:rPr>
              <w:t>作 業 名 稱</w:t>
            </w:r>
          </w:p>
        </w:tc>
        <w:tc>
          <w:tcPr>
            <w:tcW w:w="3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2669B3" w14:textId="77777777" w:rsidR="006D5DBA" w:rsidRDefault="00000000">
            <w:pPr>
              <w:widowControl/>
              <w:autoSpaceDE w:val="0"/>
              <w:spacing w:line="240" w:lineRule="atLeast"/>
              <w:ind w:right="233"/>
              <w:jc w:val="center"/>
              <w:textAlignment w:val="bottom"/>
            </w:pPr>
            <w:r>
              <w:rPr>
                <w:rFonts w:ascii="微軟正黑體" w:eastAsia="微軟正黑體" w:hAnsi="微軟正黑體" w:cs="微軟正黑體"/>
                <w:b/>
                <w:bCs/>
                <w:szCs w:val="24"/>
              </w:rPr>
              <w:t>作　業　內　容</w:t>
            </w:r>
          </w:p>
        </w:tc>
        <w:tc>
          <w:tcPr>
            <w:tcW w:w="25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B1CBDF" w14:textId="77777777" w:rsidR="006D5DBA" w:rsidRDefault="00000000">
            <w:pPr>
              <w:widowControl/>
              <w:autoSpaceDE w:val="0"/>
              <w:spacing w:line="240" w:lineRule="atLeast"/>
              <w:textAlignment w:val="bottom"/>
              <w:rPr>
                <w:rFonts w:ascii="微軟正黑體" w:eastAsia="微軟正黑體" w:hAnsi="微軟正黑體" w:cs="微軟正黑體"/>
                <w:b/>
                <w:bCs/>
                <w:szCs w:val="24"/>
              </w:rPr>
            </w:pPr>
            <w:r>
              <w:rPr>
                <w:rFonts w:ascii="微軟正黑體" w:eastAsia="微軟正黑體" w:hAnsi="微軟正黑體" w:cs="微軟正黑體"/>
                <w:b/>
                <w:bCs/>
                <w:szCs w:val="24"/>
              </w:rPr>
              <w:t xml:space="preserve">備 </w:t>
            </w:r>
            <w:proofErr w:type="gramStart"/>
            <w:r>
              <w:rPr>
                <w:rFonts w:ascii="微軟正黑體" w:eastAsia="微軟正黑體" w:hAnsi="微軟正黑體" w:cs="微軟正黑體"/>
                <w:b/>
                <w:bCs/>
                <w:szCs w:val="24"/>
              </w:rPr>
              <w:t>註</w:t>
            </w:r>
            <w:proofErr w:type="gramEnd"/>
          </w:p>
        </w:tc>
      </w:tr>
      <w:tr w:rsidR="006D5DBA" w14:paraId="5C8EDAB8" w14:textId="77777777">
        <w:tc>
          <w:tcPr>
            <w:tcW w:w="850" w:type="dxa"/>
            <w:tcBorders>
              <w:top w:val="single" w:sz="4" w:space="0" w:color="000000"/>
              <w:left w:val="single" w:sz="4" w:space="0" w:color="000000"/>
              <w:bottom w:val="single" w:sz="4" w:space="0" w:color="000000"/>
              <w:right w:val="single" w:sz="4" w:space="0" w:color="000000"/>
            </w:tcBorders>
            <w:vAlign w:val="center"/>
          </w:tcPr>
          <w:p w14:paraId="590422ED" w14:textId="77777777" w:rsidR="006D5DBA" w:rsidRDefault="00000000">
            <w:pPr>
              <w:widowControl/>
              <w:autoSpaceDE w:val="0"/>
              <w:spacing w:line="240" w:lineRule="atLeast"/>
              <w:jc w:val="center"/>
              <w:textAlignment w:val="bottom"/>
              <w:rPr>
                <w:rFonts w:ascii="微軟正黑體" w:eastAsia="微軟正黑體" w:hAnsi="微軟正黑體" w:cs="微軟正黑體"/>
                <w:bCs/>
                <w:szCs w:val="24"/>
              </w:rPr>
            </w:pPr>
            <w:r>
              <w:rPr>
                <w:rFonts w:ascii="微軟正黑體" w:eastAsia="微軟正黑體" w:hAnsi="微軟正黑體" w:cs="微軟正黑體"/>
                <w:bCs/>
                <w:szCs w:val="24"/>
              </w:rPr>
              <w:t>1</w:t>
            </w:r>
          </w:p>
        </w:tc>
        <w:tc>
          <w:tcPr>
            <w:tcW w:w="2519" w:type="dxa"/>
            <w:tcBorders>
              <w:top w:val="single" w:sz="4" w:space="0" w:color="000000"/>
              <w:left w:val="single" w:sz="4" w:space="0" w:color="000000"/>
              <w:bottom w:val="single" w:sz="4" w:space="0" w:color="000000"/>
              <w:right w:val="single" w:sz="4" w:space="0" w:color="000000"/>
            </w:tcBorders>
            <w:vAlign w:val="center"/>
          </w:tcPr>
          <w:p w14:paraId="0EBCB4B8" w14:textId="3EBA91BC" w:rsidR="006D5DBA" w:rsidRDefault="00000000">
            <w:r>
              <w:t>17館1F冰水管路及AH3空調箱保溫維護</w:t>
            </w:r>
          </w:p>
        </w:tc>
        <w:tc>
          <w:tcPr>
            <w:tcW w:w="3577" w:type="dxa"/>
            <w:tcBorders>
              <w:top w:val="single" w:sz="4" w:space="0" w:color="000000"/>
              <w:left w:val="single" w:sz="4" w:space="0" w:color="000000"/>
              <w:bottom w:val="single" w:sz="4" w:space="0" w:color="000000"/>
              <w:right w:val="single" w:sz="4" w:space="0" w:color="000000"/>
            </w:tcBorders>
          </w:tcPr>
          <w:p w14:paraId="786DA96B" w14:textId="77777777" w:rsidR="006D5DBA" w:rsidRDefault="00000000">
            <w:r>
              <w:t>1. 管路既有保溫拆除</w:t>
            </w:r>
            <w:r>
              <w:br/>
              <w:t>2. 管路保溫重新施作</w:t>
            </w:r>
            <w:r>
              <w:br/>
              <w:t>3. 保溫外部PVC被覆</w:t>
            </w:r>
            <w:r>
              <w:br/>
              <w:t>4. 管路標示</w:t>
            </w:r>
            <w:r>
              <w:br/>
              <w:t>5. AH3空調箱保溫維護</w:t>
            </w:r>
          </w:p>
        </w:tc>
        <w:tc>
          <w:tcPr>
            <w:tcW w:w="2518" w:type="dxa"/>
            <w:tcBorders>
              <w:top w:val="single" w:sz="4" w:space="0" w:color="000000"/>
              <w:left w:val="single" w:sz="4" w:space="0" w:color="000000"/>
              <w:bottom w:val="single" w:sz="4" w:space="0" w:color="000000"/>
              <w:right w:val="single" w:sz="4" w:space="0" w:color="000000"/>
            </w:tcBorders>
            <w:vAlign w:val="center"/>
          </w:tcPr>
          <w:p w14:paraId="22095F04" w14:textId="77777777" w:rsidR="006D5DBA" w:rsidRDefault="006D5DBA">
            <w:pPr>
              <w:widowControl/>
              <w:snapToGrid w:val="0"/>
              <w:textAlignment w:val="auto"/>
              <w:rPr>
                <w:rFonts w:ascii="微軟正黑體" w:eastAsia="微軟正黑體" w:hAnsi="微軟正黑體" w:cs="微軟正黑體"/>
                <w:bCs/>
                <w:szCs w:val="24"/>
              </w:rPr>
            </w:pPr>
          </w:p>
        </w:tc>
      </w:tr>
    </w:tbl>
    <w:p w14:paraId="6F699C82" w14:textId="77777777" w:rsidR="006D5DBA" w:rsidRDefault="006D5DBA">
      <w:pPr>
        <w:jc w:val="both"/>
        <w:rPr>
          <w:rFonts w:ascii="微軟正黑體" w:eastAsia="微軟正黑體" w:hAnsi="微軟正黑體" w:cs="微軟正黑體"/>
        </w:rPr>
      </w:pPr>
    </w:p>
    <w:p w14:paraId="41A614FF"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2" w:name="__RefHeading___Toc497731292"/>
      <w:bookmarkEnd w:id="2"/>
      <w:r>
        <w:rPr>
          <w:rFonts w:ascii="微軟正黑體" w:eastAsia="微軟正黑體" w:hAnsi="微軟正黑體" w:cs="微軟正黑體"/>
          <w:bCs/>
          <w:sz w:val="28"/>
          <w:szCs w:val="28"/>
        </w:rPr>
        <w:t>貳、施工規範</w:t>
      </w:r>
    </w:p>
    <w:p w14:paraId="1B805886" w14:textId="3B2FA55B" w:rsidR="006D5DBA" w:rsidRDefault="00000000">
      <w:pPr>
        <w:numPr>
          <w:ilvl w:val="1"/>
          <w:numId w:val="15"/>
        </w:numPr>
        <w:jc w:val="both"/>
        <w:rPr>
          <w:rFonts w:ascii="微軟正黑體" w:eastAsia="微軟正黑體" w:hAnsi="微軟正黑體" w:cs="微軟正黑體"/>
          <w:color w:val="FF0000"/>
        </w:rPr>
      </w:pPr>
      <w:r>
        <w:rPr>
          <w:rFonts w:ascii="微軟正黑體" w:eastAsia="微軟正黑體" w:hAnsi="微軟正黑體" w:cs="微軟正黑體"/>
        </w:rPr>
        <w:t>冰水管路及AH3空調箱保溫維護：</w:t>
      </w:r>
    </w:p>
    <w:p w14:paraId="25D0D703" w14:textId="54C9B419" w:rsidR="006D5DBA" w:rsidRDefault="00000000">
      <w:pPr>
        <w:ind w:left="1038"/>
        <w:jc w:val="both"/>
        <w:rPr>
          <w:rFonts w:ascii="微軟正黑體" w:eastAsia="微軟正黑體" w:hAnsi="微軟正黑體" w:cs="微軟正黑體"/>
          <w:color w:val="FF0000"/>
        </w:rPr>
      </w:pPr>
      <w:r>
        <w:rPr>
          <w:rFonts w:ascii="微軟正黑體" w:eastAsia="微軟正黑體" w:hAnsi="微軟正黑體" w:cs="微軟正黑體"/>
        </w:rPr>
        <w:t>本作業為責任施工，本次範圍為圖1指定區域內既有冰水</w:t>
      </w:r>
      <w:r w:rsidR="004909BC">
        <w:rPr>
          <w:rFonts w:ascii="微軟正黑體" w:eastAsia="微軟正黑體" w:hAnsi="微軟正黑體" w:cs="微軟正黑體" w:hint="eastAsia"/>
        </w:rPr>
        <w:t>回水</w:t>
      </w:r>
      <w:r>
        <w:rPr>
          <w:rFonts w:ascii="微軟正黑體" w:eastAsia="微軟正黑體" w:hAnsi="微軟正黑體" w:cs="微軟正黑體"/>
        </w:rPr>
        <w:t>管路保溫拆除及重新施作，並包含AH3空調箱保溫維護；本案不涉及既有冰水管路本體更換。標單數量為本次施工範圍之盤點數量，承攬商報價前應至現場複核。</w:t>
      </w:r>
    </w:p>
    <w:p w14:paraId="57D548C2"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更換數量：</w:t>
      </w:r>
    </w:p>
    <w:p w14:paraId="2C551CEF"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2</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管路35M。</w:t>
      </w:r>
    </w:p>
    <w:p w14:paraId="5843CA39"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6</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 xml:space="preserve"> 管路 35M。</w:t>
      </w:r>
    </w:p>
    <w:p w14:paraId="3BB1DEE6"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8</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 xml:space="preserve"> 管路 101.5M。</w:t>
      </w:r>
    </w:p>
    <w:p w14:paraId="31C0F080"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10</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管路 12M。</w:t>
      </w:r>
    </w:p>
    <w:p w14:paraId="51D73B43"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12</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 xml:space="preserve"> 管路 82M。</w:t>
      </w:r>
    </w:p>
    <w:p w14:paraId="49094E3C" w14:textId="08AF2DA3"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本次冰水</w:t>
      </w:r>
      <w:r w:rsidR="004909BC">
        <w:rPr>
          <w:rFonts w:ascii="微軟正黑體" w:eastAsia="微軟正黑體" w:hAnsi="微軟正黑體" w:cs="微軟正黑體" w:hint="eastAsia"/>
        </w:rPr>
        <w:t>回水</w:t>
      </w:r>
      <w:r>
        <w:rPr>
          <w:rFonts w:ascii="微軟正黑體" w:eastAsia="微軟正黑體" w:hAnsi="微軟正黑體" w:cs="微軟正黑體"/>
        </w:rPr>
        <w:t>管路施工總長約265.5M。</w:t>
      </w:r>
    </w:p>
    <w:p w14:paraId="050B25EC"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AH3空調箱：1台，尺寸約1.2m × 1.6m × 2.4m，保溫厚度50mm；實際尺寸於施工前由承攬商現場</w:t>
      </w:r>
      <w:proofErr w:type="gramStart"/>
      <w:r>
        <w:rPr>
          <w:rFonts w:ascii="微軟正黑體" w:eastAsia="微軟正黑體" w:hAnsi="微軟正黑體" w:cs="微軟正黑體"/>
        </w:rPr>
        <w:t>複</w:t>
      </w:r>
      <w:proofErr w:type="gramEnd"/>
      <w:r>
        <w:rPr>
          <w:rFonts w:ascii="微軟正黑體" w:eastAsia="微軟正黑體" w:hAnsi="微軟正黑體" w:cs="微軟正黑體"/>
        </w:rPr>
        <w:t>量確認。</w:t>
      </w:r>
    </w:p>
    <w:p w14:paraId="17BA8536"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保溫厚度：</w:t>
      </w:r>
    </w:p>
    <w:p w14:paraId="69951E1D" w14:textId="77777777" w:rsidR="006D5DBA" w:rsidRDefault="00000000">
      <w:pPr>
        <w:ind w:left="1920"/>
        <w:jc w:val="both"/>
        <w:rPr>
          <w:rFonts w:ascii="微軟正黑體" w:eastAsia="微軟正黑體" w:hAnsi="微軟正黑體" w:cs="微軟正黑體"/>
          <w:b/>
        </w:rPr>
      </w:pPr>
      <w:r>
        <w:rPr>
          <w:rFonts w:ascii="微軟正黑體" w:eastAsia="微軟正黑體" w:hAnsi="微軟正黑體" w:cs="微軟正黑體"/>
        </w:rPr>
        <w:t>保溫材料使用密度25kg/m</w:t>
      </w:r>
      <w:r>
        <w:rPr>
          <w:rFonts w:ascii="微軟正黑體" w:eastAsia="微軟正黑體" w:hAnsi="微軟正黑體" w:cs="微軟正黑體"/>
          <w:vertAlign w:val="superscript"/>
        </w:rPr>
        <w:t>3</w:t>
      </w:r>
      <w:r>
        <w:rPr>
          <w:rFonts w:ascii="微軟正黑體" w:eastAsia="微軟正黑體" w:hAnsi="微軟正黑體" w:cs="微軟正黑體"/>
        </w:rPr>
        <w:t>之PE發泡</w:t>
      </w:r>
      <w:proofErr w:type="gramStart"/>
      <w:r>
        <w:rPr>
          <w:rFonts w:ascii="微軟正黑體" w:eastAsia="微軟正黑體" w:hAnsi="微軟正黑體" w:cs="微軟正黑體"/>
        </w:rPr>
        <w:t>保溫材</w:t>
      </w:r>
      <w:proofErr w:type="gramEnd"/>
      <w:r>
        <w:rPr>
          <w:rFonts w:ascii="微軟正黑體" w:eastAsia="微軟正黑體" w:hAnsi="微軟正黑體" w:cs="微軟正黑體"/>
        </w:rPr>
        <w:t>，表面為 A 級皮面處理，且須具防火</w:t>
      </w:r>
      <w:proofErr w:type="gramStart"/>
      <w:r>
        <w:rPr>
          <w:rFonts w:ascii="微軟正黑體" w:eastAsia="微軟正黑體" w:hAnsi="微軟正黑體" w:cs="微軟正黑體"/>
        </w:rPr>
        <w:t>自熄性</w:t>
      </w:r>
      <w:proofErr w:type="gramEnd"/>
      <w:r>
        <w:rPr>
          <w:rFonts w:ascii="微軟正黑體" w:eastAsia="微軟正黑體" w:hAnsi="微軟正黑體" w:cs="微軟正黑體"/>
        </w:rPr>
        <w:t>、防潮性及正字標記。</w:t>
      </w:r>
    </w:p>
    <w:p w14:paraId="18B132E7" w14:textId="77777777" w:rsidR="006D5DBA" w:rsidRDefault="00000000">
      <w:pPr>
        <w:numPr>
          <w:ilvl w:val="0"/>
          <w:numId w:val="12"/>
        </w:numPr>
        <w:jc w:val="both"/>
        <w:rPr>
          <w:rFonts w:ascii="微軟正黑體" w:eastAsia="微軟正黑體" w:hAnsi="微軟正黑體" w:cs="微軟正黑體"/>
          <w:b/>
        </w:rPr>
      </w:pPr>
      <w:r>
        <w:rPr>
          <w:rFonts w:ascii="微軟正黑體" w:eastAsia="微軟正黑體" w:hAnsi="微軟正黑體" w:cs="微軟正黑體"/>
          <w:b/>
        </w:rPr>
        <w:t>厚度：</w:t>
      </w:r>
    </w:p>
    <w:p w14:paraId="60FA7EC4" w14:textId="77777777" w:rsidR="006D5DBA" w:rsidRDefault="00000000">
      <w:pPr>
        <w:ind w:left="1920"/>
        <w:jc w:val="both"/>
        <w:rPr>
          <w:rFonts w:ascii="微軟正黑體" w:eastAsia="微軟正黑體" w:hAnsi="微軟正黑體" w:cs="微軟正黑體"/>
          <w:szCs w:val="24"/>
        </w:rPr>
      </w:pPr>
      <w:r>
        <w:rPr>
          <w:rFonts w:ascii="微軟正黑體" w:eastAsia="微軟正黑體" w:hAnsi="微軟正黑體" w:cs="微軟正黑體"/>
        </w:rPr>
        <w:t>保溫厚度依據管徑而不同如表1所示。</w:t>
      </w:r>
    </w:p>
    <w:p w14:paraId="04DDFD8C" w14:textId="77777777" w:rsidR="006D5DBA" w:rsidRDefault="00000000">
      <w:pPr>
        <w:pStyle w:val="ad"/>
        <w:keepNext/>
        <w:ind w:left="1920"/>
        <w:jc w:val="center"/>
      </w:pPr>
      <w:r>
        <w:rPr>
          <w:rFonts w:ascii="微軟正黑體" w:eastAsia="微軟正黑體" w:hAnsi="微軟正黑體" w:cs="微軟正黑體"/>
        </w:rPr>
        <w:t>表 1</w:t>
      </w:r>
      <w:r>
        <w:t>. 保溫需求厚度</w:t>
      </w:r>
    </w:p>
    <w:tbl>
      <w:tblPr>
        <w:tblW w:w="7101" w:type="dxa"/>
        <w:tblInd w:w="2160" w:type="dxa"/>
        <w:tblLayout w:type="fixed"/>
        <w:tblLook w:val="04A0" w:firstRow="1" w:lastRow="0" w:firstColumn="1" w:lastColumn="0" w:noHBand="0" w:noVBand="1"/>
      </w:tblPr>
      <w:tblGrid>
        <w:gridCol w:w="1890"/>
        <w:gridCol w:w="2605"/>
        <w:gridCol w:w="2606"/>
      </w:tblGrid>
      <w:tr w:rsidR="006D5DBA" w14:paraId="557E204C" w14:textId="77777777">
        <w:trPr>
          <w:tblHeader/>
        </w:trPr>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53549D41" w14:textId="77777777" w:rsidR="006D5DBA" w:rsidRDefault="00000000">
            <w:pPr>
              <w:jc w:val="center"/>
              <w:rPr>
                <w:rFonts w:ascii="微軟正黑體" w:eastAsia="微軟正黑體" w:hAnsi="微軟正黑體" w:cs="微軟正黑體"/>
                <w:b/>
              </w:rPr>
            </w:pPr>
            <w:proofErr w:type="gramStart"/>
            <w:r>
              <w:rPr>
                <w:rFonts w:ascii="微軟正黑體" w:eastAsia="微軟正黑體" w:hAnsi="微軟正黑體" w:cs="微軟正黑體"/>
                <w:b/>
              </w:rPr>
              <w:t>標稱管徑</w:t>
            </w:r>
            <w:proofErr w:type="gramEnd"/>
            <w:r>
              <w:rPr>
                <w:rFonts w:ascii="微軟正黑體" w:eastAsia="微軟正黑體" w:hAnsi="微軟正黑體" w:cs="微軟正黑體"/>
                <w:b/>
              </w:rPr>
              <w:t>(mm)</w:t>
            </w:r>
          </w:p>
        </w:tc>
        <w:tc>
          <w:tcPr>
            <w:tcW w:w="2605" w:type="dxa"/>
            <w:tcBorders>
              <w:top w:val="single" w:sz="4" w:space="0" w:color="000000"/>
              <w:left w:val="single" w:sz="4" w:space="0" w:color="000000"/>
              <w:bottom w:val="single" w:sz="4" w:space="0" w:color="000000"/>
              <w:right w:val="single" w:sz="4" w:space="0" w:color="000000"/>
            </w:tcBorders>
            <w:shd w:val="clear" w:color="auto" w:fill="D9D9D9"/>
          </w:tcPr>
          <w:p w14:paraId="7021A5B2" w14:textId="77777777" w:rsidR="006D5DBA" w:rsidRDefault="00000000">
            <w:pPr>
              <w:jc w:val="center"/>
              <w:rPr>
                <w:rFonts w:ascii="微軟正黑體" w:eastAsia="微軟正黑體" w:hAnsi="微軟正黑體" w:cs="微軟正黑體"/>
                <w:b/>
              </w:rPr>
            </w:pPr>
            <w:r>
              <w:rPr>
                <w:rFonts w:ascii="微軟正黑體" w:eastAsia="微軟正黑體" w:hAnsi="微軟正黑體" w:cs="微軟正黑體"/>
                <w:b/>
              </w:rPr>
              <w:t>室內保溫厚度(mm)</w:t>
            </w:r>
          </w:p>
        </w:tc>
        <w:tc>
          <w:tcPr>
            <w:tcW w:w="2606" w:type="dxa"/>
            <w:tcBorders>
              <w:top w:val="single" w:sz="4" w:space="0" w:color="000000"/>
              <w:left w:val="single" w:sz="4" w:space="0" w:color="000000"/>
              <w:bottom w:val="single" w:sz="4" w:space="0" w:color="000000"/>
              <w:right w:val="single" w:sz="4" w:space="0" w:color="000000"/>
            </w:tcBorders>
            <w:shd w:val="clear" w:color="auto" w:fill="D9D9D9"/>
          </w:tcPr>
          <w:p w14:paraId="55DE8AC2" w14:textId="77777777" w:rsidR="006D5DBA" w:rsidRDefault="00000000">
            <w:pPr>
              <w:jc w:val="center"/>
              <w:rPr>
                <w:rFonts w:ascii="微軟正黑體" w:eastAsia="微軟正黑體" w:hAnsi="微軟正黑體" w:cs="微軟正黑體"/>
                <w:b/>
              </w:rPr>
            </w:pPr>
            <w:r>
              <w:rPr>
                <w:rFonts w:ascii="微軟正黑體" w:eastAsia="微軟正黑體" w:hAnsi="微軟正黑體" w:cs="微軟正黑體"/>
                <w:b/>
              </w:rPr>
              <w:t>室外保溫厚度(mm)</w:t>
            </w:r>
          </w:p>
        </w:tc>
      </w:tr>
      <w:tr w:rsidR="006D5DBA" w14:paraId="656A7E62" w14:textId="77777777">
        <w:tc>
          <w:tcPr>
            <w:tcW w:w="1890" w:type="dxa"/>
            <w:tcBorders>
              <w:top w:val="single" w:sz="4" w:space="0" w:color="000000"/>
              <w:left w:val="single" w:sz="4" w:space="0" w:color="000000"/>
              <w:bottom w:val="single" w:sz="4" w:space="0" w:color="000000"/>
              <w:right w:val="single" w:sz="4" w:space="0" w:color="000000"/>
            </w:tcBorders>
          </w:tcPr>
          <w:p w14:paraId="62A9EC0F"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20</w:t>
            </w:r>
          </w:p>
        </w:tc>
        <w:tc>
          <w:tcPr>
            <w:tcW w:w="2605" w:type="dxa"/>
            <w:tcBorders>
              <w:top w:val="single" w:sz="4" w:space="0" w:color="000000"/>
              <w:left w:val="single" w:sz="4" w:space="0" w:color="000000"/>
              <w:bottom w:val="single" w:sz="4" w:space="0" w:color="000000"/>
              <w:right w:val="single" w:sz="4" w:space="0" w:color="000000"/>
            </w:tcBorders>
          </w:tcPr>
          <w:p w14:paraId="2BD1DD3B"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25</w:t>
            </w:r>
          </w:p>
        </w:tc>
        <w:tc>
          <w:tcPr>
            <w:tcW w:w="2606" w:type="dxa"/>
            <w:tcBorders>
              <w:top w:val="single" w:sz="4" w:space="0" w:color="000000"/>
              <w:left w:val="single" w:sz="4" w:space="0" w:color="000000"/>
              <w:bottom w:val="single" w:sz="4" w:space="0" w:color="000000"/>
              <w:right w:val="single" w:sz="4" w:space="0" w:color="000000"/>
            </w:tcBorders>
          </w:tcPr>
          <w:p w14:paraId="2D20FBD9"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32 </w:t>
            </w:r>
            <w:r>
              <w:rPr>
                <w:rFonts w:ascii="微軟正黑體" w:eastAsia="微軟正黑體" w:hAnsi="微軟正黑體" w:cs="微軟正黑體"/>
                <w:color w:val="000000"/>
              </w:rPr>
              <w:t>+ 鋁皮金屬護罩</w:t>
            </w:r>
          </w:p>
        </w:tc>
      </w:tr>
      <w:tr w:rsidR="006D5DBA" w14:paraId="2EA68CD9" w14:textId="77777777">
        <w:tc>
          <w:tcPr>
            <w:tcW w:w="1890" w:type="dxa"/>
            <w:tcBorders>
              <w:top w:val="single" w:sz="4" w:space="0" w:color="000000"/>
              <w:left w:val="single" w:sz="4" w:space="0" w:color="000000"/>
              <w:bottom w:val="single" w:sz="4" w:space="0" w:color="000000"/>
              <w:right w:val="single" w:sz="4" w:space="0" w:color="000000"/>
            </w:tcBorders>
          </w:tcPr>
          <w:p w14:paraId="417F6B8A"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20~65</w:t>
            </w:r>
          </w:p>
        </w:tc>
        <w:tc>
          <w:tcPr>
            <w:tcW w:w="2605" w:type="dxa"/>
            <w:tcBorders>
              <w:top w:val="single" w:sz="4" w:space="0" w:color="000000"/>
              <w:left w:val="single" w:sz="4" w:space="0" w:color="000000"/>
              <w:bottom w:val="single" w:sz="4" w:space="0" w:color="000000"/>
              <w:right w:val="single" w:sz="4" w:space="0" w:color="000000"/>
            </w:tcBorders>
          </w:tcPr>
          <w:p w14:paraId="504D633A"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32</w:t>
            </w:r>
          </w:p>
        </w:tc>
        <w:tc>
          <w:tcPr>
            <w:tcW w:w="2606" w:type="dxa"/>
            <w:tcBorders>
              <w:top w:val="single" w:sz="4" w:space="0" w:color="000000"/>
              <w:left w:val="single" w:sz="4" w:space="0" w:color="000000"/>
              <w:bottom w:val="single" w:sz="4" w:space="0" w:color="000000"/>
              <w:right w:val="single" w:sz="4" w:space="0" w:color="000000"/>
            </w:tcBorders>
          </w:tcPr>
          <w:p w14:paraId="43E47698"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40 </w:t>
            </w:r>
            <w:r>
              <w:rPr>
                <w:rFonts w:ascii="微軟正黑體" w:eastAsia="微軟正黑體" w:hAnsi="微軟正黑體" w:cs="微軟正黑體"/>
                <w:color w:val="000000"/>
              </w:rPr>
              <w:t>+ 鋁皮金屬護罩</w:t>
            </w:r>
          </w:p>
        </w:tc>
      </w:tr>
      <w:tr w:rsidR="006D5DBA" w14:paraId="485BDED7" w14:textId="77777777">
        <w:tc>
          <w:tcPr>
            <w:tcW w:w="1890" w:type="dxa"/>
            <w:tcBorders>
              <w:top w:val="single" w:sz="4" w:space="0" w:color="000000"/>
              <w:left w:val="single" w:sz="4" w:space="0" w:color="000000"/>
              <w:bottom w:val="single" w:sz="4" w:space="0" w:color="000000"/>
              <w:right w:val="single" w:sz="4" w:space="0" w:color="000000"/>
            </w:tcBorders>
          </w:tcPr>
          <w:p w14:paraId="46761C53"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80~350</w:t>
            </w:r>
          </w:p>
        </w:tc>
        <w:tc>
          <w:tcPr>
            <w:tcW w:w="2605" w:type="dxa"/>
            <w:tcBorders>
              <w:top w:val="single" w:sz="4" w:space="0" w:color="000000"/>
              <w:left w:val="single" w:sz="4" w:space="0" w:color="000000"/>
              <w:bottom w:val="single" w:sz="4" w:space="0" w:color="000000"/>
              <w:right w:val="single" w:sz="4" w:space="0" w:color="000000"/>
            </w:tcBorders>
          </w:tcPr>
          <w:p w14:paraId="3C297E89"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50</w:t>
            </w:r>
          </w:p>
        </w:tc>
        <w:tc>
          <w:tcPr>
            <w:tcW w:w="2606" w:type="dxa"/>
            <w:tcBorders>
              <w:top w:val="single" w:sz="4" w:space="0" w:color="000000"/>
              <w:left w:val="single" w:sz="4" w:space="0" w:color="000000"/>
              <w:bottom w:val="single" w:sz="4" w:space="0" w:color="000000"/>
              <w:right w:val="single" w:sz="4" w:space="0" w:color="000000"/>
            </w:tcBorders>
          </w:tcPr>
          <w:p w14:paraId="1EE81434"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50 </w:t>
            </w:r>
            <w:r>
              <w:rPr>
                <w:rFonts w:ascii="微軟正黑體" w:eastAsia="微軟正黑體" w:hAnsi="微軟正黑體" w:cs="微軟正黑體"/>
                <w:color w:val="000000"/>
              </w:rPr>
              <w:t>+ 鋁皮金屬護罩</w:t>
            </w:r>
          </w:p>
        </w:tc>
      </w:tr>
      <w:tr w:rsidR="006D5DBA" w14:paraId="3FF17FA9" w14:textId="77777777">
        <w:tc>
          <w:tcPr>
            <w:tcW w:w="1890" w:type="dxa"/>
            <w:tcBorders>
              <w:top w:val="single" w:sz="4" w:space="0" w:color="000000"/>
              <w:left w:val="single" w:sz="4" w:space="0" w:color="000000"/>
              <w:bottom w:val="single" w:sz="4" w:space="0" w:color="000000"/>
              <w:right w:val="single" w:sz="4" w:space="0" w:color="000000"/>
            </w:tcBorders>
          </w:tcPr>
          <w:p w14:paraId="0780B0AE"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400~700</w:t>
            </w:r>
          </w:p>
        </w:tc>
        <w:tc>
          <w:tcPr>
            <w:tcW w:w="2605" w:type="dxa"/>
            <w:tcBorders>
              <w:top w:val="single" w:sz="4" w:space="0" w:color="000000"/>
              <w:left w:val="single" w:sz="4" w:space="0" w:color="000000"/>
              <w:bottom w:val="single" w:sz="4" w:space="0" w:color="000000"/>
              <w:right w:val="single" w:sz="4" w:space="0" w:color="000000"/>
            </w:tcBorders>
          </w:tcPr>
          <w:p w14:paraId="6F06BD21"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50</w:t>
            </w:r>
          </w:p>
        </w:tc>
        <w:tc>
          <w:tcPr>
            <w:tcW w:w="2606" w:type="dxa"/>
            <w:tcBorders>
              <w:top w:val="single" w:sz="4" w:space="0" w:color="000000"/>
              <w:left w:val="single" w:sz="4" w:space="0" w:color="000000"/>
              <w:bottom w:val="single" w:sz="4" w:space="0" w:color="000000"/>
              <w:right w:val="single" w:sz="4" w:space="0" w:color="000000"/>
            </w:tcBorders>
          </w:tcPr>
          <w:p w14:paraId="7092847C"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65 </w:t>
            </w:r>
            <w:r>
              <w:rPr>
                <w:rFonts w:ascii="微軟正黑體" w:eastAsia="微軟正黑體" w:hAnsi="微軟正黑體" w:cs="微軟正黑體"/>
                <w:color w:val="000000"/>
              </w:rPr>
              <w:t>+ 鋁皮金屬護罩</w:t>
            </w:r>
          </w:p>
        </w:tc>
      </w:tr>
    </w:tbl>
    <w:p w14:paraId="2EBB3E8D"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AH3空調箱保溫維護</w:t>
      </w:r>
    </w:p>
    <w:p w14:paraId="605B7DFD"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lastRenderedPageBreak/>
        <w:t>AH3空調箱既有失效、破損</w:t>
      </w:r>
      <w:proofErr w:type="gramStart"/>
      <w:r>
        <w:rPr>
          <w:rFonts w:ascii="微軟正黑體" w:eastAsia="微軟正黑體" w:hAnsi="微軟正黑體" w:cs="微軟正黑體"/>
        </w:rPr>
        <w:t>或結露區域</w:t>
      </w:r>
      <w:proofErr w:type="gramEnd"/>
      <w:r>
        <w:rPr>
          <w:rFonts w:ascii="微軟正黑體" w:eastAsia="微軟正黑體" w:hAnsi="微軟正黑體" w:cs="微軟正黑體"/>
        </w:rPr>
        <w:t>之保溫應拆除並清理基材表面，施工範圍以現場確認為</w:t>
      </w:r>
      <w:proofErr w:type="gramStart"/>
      <w:r>
        <w:rPr>
          <w:rFonts w:ascii="微軟正黑體" w:eastAsia="微軟正黑體" w:hAnsi="微軟正黑體" w:cs="微軟正黑體"/>
        </w:rPr>
        <w:t>準</w:t>
      </w:r>
      <w:proofErr w:type="gramEnd"/>
      <w:r>
        <w:rPr>
          <w:rFonts w:ascii="微軟正黑體" w:eastAsia="微軟正黑體" w:hAnsi="微軟正黑體" w:cs="微軟正黑體"/>
        </w:rPr>
        <w:t>。</w:t>
      </w:r>
    </w:p>
    <w:p w14:paraId="30FD39CA"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AH3空調箱保溫材</w:t>
      </w:r>
      <w:proofErr w:type="gramStart"/>
      <w:r>
        <w:rPr>
          <w:rFonts w:ascii="微軟正黑體" w:eastAsia="微軟正黑體" w:hAnsi="微軟正黑體" w:cs="微軟正黑體"/>
        </w:rPr>
        <w:t>採</w:t>
      </w:r>
      <w:proofErr w:type="gramEnd"/>
      <w:r>
        <w:rPr>
          <w:rFonts w:ascii="微軟正黑體" w:eastAsia="微軟正黑體" w:hAnsi="微軟正黑體" w:cs="微軟正黑體"/>
        </w:rPr>
        <w:t>PE發泡</w:t>
      </w:r>
      <w:proofErr w:type="gramStart"/>
      <w:r>
        <w:rPr>
          <w:rFonts w:ascii="微軟正黑體" w:eastAsia="微軟正黑體" w:hAnsi="微軟正黑體" w:cs="微軟正黑體"/>
        </w:rPr>
        <w:t>保溫材</w:t>
      </w:r>
      <w:proofErr w:type="gramEnd"/>
      <w:r>
        <w:rPr>
          <w:rFonts w:ascii="微軟正黑體" w:eastAsia="微軟正黑體" w:hAnsi="微軟正黑體" w:cs="微軟正黑體"/>
        </w:rPr>
        <w:t>，保溫厚度50mm，材質</w:t>
      </w:r>
      <w:proofErr w:type="gramStart"/>
      <w:r>
        <w:rPr>
          <w:rFonts w:ascii="微軟正黑體" w:eastAsia="微軟正黑體" w:hAnsi="微軟正黑體" w:cs="微軟正黑體"/>
        </w:rPr>
        <w:t>要求同本規範</w:t>
      </w:r>
      <w:proofErr w:type="gramEnd"/>
      <w:r>
        <w:rPr>
          <w:rFonts w:ascii="微軟正黑體" w:eastAsia="微軟正黑體" w:hAnsi="微軟正黑體" w:cs="微軟正黑體"/>
        </w:rPr>
        <w:t>管路</w:t>
      </w:r>
      <w:proofErr w:type="gramStart"/>
      <w:r>
        <w:rPr>
          <w:rFonts w:ascii="微軟正黑體" w:eastAsia="微軟正黑體" w:hAnsi="微軟正黑體" w:cs="微軟正黑體"/>
        </w:rPr>
        <w:t>保溫材之</w:t>
      </w:r>
      <w:proofErr w:type="gramEnd"/>
      <w:r>
        <w:rPr>
          <w:rFonts w:ascii="微軟正黑體" w:eastAsia="微軟正黑體" w:hAnsi="微軟正黑體" w:cs="微軟正黑體"/>
        </w:rPr>
        <w:t>防火、</w:t>
      </w:r>
      <w:proofErr w:type="gramStart"/>
      <w:r>
        <w:rPr>
          <w:rFonts w:ascii="微軟正黑體" w:eastAsia="微軟正黑體" w:hAnsi="微軟正黑體" w:cs="微軟正黑體"/>
        </w:rPr>
        <w:t>自熄</w:t>
      </w:r>
      <w:proofErr w:type="gramEnd"/>
      <w:r>
        <w:rPr>
          <w:rFonts w:ascii="微軟正黑體" w:eastAsia="微軟正黑體" w:hAnsi="微軟正黑體" w:cs="微軟正黑體"/>
        </w:rPr>
        <w:t>、防潮等要求。</w:t>
      </w:r>
    </w:p>
    <w:p w14:paraId="7D9EBCEA"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保溫</w:t>
      </w:r>
      <w:proofErr w:type="gramStart"/>
      <w:r>
        <w:rPr>
          <w:rFonts w:ascii="微軟正黑體" w:eastAsia="微軟正黑體" w:hAnsi="微軟正黑體" w:cs="微軟正黑體"/>
        </w:rPr>
        <w:t>接縫應以</w:t>
      </w:r>
      <w:proofErr w:type="gramEnd"/>
      <w:r>
        <w:rPr>
          <w:rFonts w:ascii="微軟正黑體" w:eastAsia="微軟正黑體" w:hAnsi="微軟正黑體" w:cs="微軟正黑體"/>
        </w:rPr>
        <w:t>專用</w:t>
      </w:r>
      <w:proofErr w:type="gramStart"/>
      <w:r>
        <w:rPr>
          <w:rFonts w:ascii="微軟正黑體" w:eastAsia="微軟正黑體" w:hAnsi="微軟正黑體" w:cs="微軟正黑體"/>
        </w:rPr>
        <w:t>接著劑密合</w:t>
      </w:r>
      <w:proofErr w:type="gramEnd"/>
      <w:r>
        <w:rPr>
          <w:rFonts w:ascii="微軟正黑體" w:eastAsia="微軟正黑體" w:hAnsi="微軟正黑體" w:cs="微軟正黑體"/>
        </w:rPr>
        <w:t>，外部被覆應平整、完整，不得有明顯縫隙、破損、翹起或漏貼；</w:t>
      </w:r>
      <w:proofErr w:type="gramStart"/>
      <w:r>
        <w:rPr>
          <w:rFonts w:ascii="微軟正黑體" w:eastAsia="微軟正黑體" w:hAnsi="微軟正黑體" w:cs="微軟正黑體"/>
        </w:rPr>
        <w:t>箱體維修</w:t>
      </w:r>
      <w:proofErr w:type="gramEnd"/>
      <w:r>
        <w:rPr>
          <w:rFonts w:ascii="微軟正黑體" w:eastAsia="微軟正黑體" w:hAnsi="微軟正黑體" w:cs="微軟正黑體"/>
        </w:rPr>
        <w:t>門、檢修口及必要操作部位不得因保溫施工影響正常開啟及維護。</w:t>
      </w:r>
    </w:p>
    <w:p w14:paraId="4DC26899"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施工完成後，AH3空調箱外觀應平整，於正常運轉條件下不得因本次保溫施工不良造成</w:t>
      </w:r>
      <w:proofErr w:type="gramStart"/>
      <w:r>
        <w:rPr>
          <w:rFonts w:ascii="微軟正黑體" w:eastAsia="微軟正黑體" w:hAnsi="微軟正黑體" w:cs="微軟正黑體"/>
        </w:rPr>
        <w:t>明顯結露滴水</w:t>
      </w:r>
      <w:proofErr w:type="gramEnd"/>
      <w:r>
        <w:rPr>
          <w:rFonts w:ascii="微軟正黑體" w:eastAsia="微軟正黑體" w:hAnsi="微軟正黑體" w:cs="微軟正黑體"/>
        </w:rPr>
        <w:t>。</w:t>
      </w:r>
    </w:p>
    <w:p w14:paraId="36339EB5"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保溫外部被覆膠帶</w:t>
      </w:r>
    </w:p>
    <w:p w14:paraId="755C5985"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材料規格：</w:t>
      </w:r>
      <w:proofErr w:type="gramStart"/>
      <w:r>
        <w:rPr>
          <w:rFonts w:ascii="微軟正黑體" w:eastAsia="微軟正黑體" w:hAnsi="微軟正黑體" w:cs="微軟正黑體"/>
        </w:rPr>
        <w:t>保溫材</w:t>
      </w:r>
      <w:proofErr w:type="gramEnd"/>
      <w:r>
        <w:rPr>
          <w:rFonts w:ascii="微軟正黑體" w:eastAsia="微軟正黑體" w:hAnsi="微軟正黑體" w:cs="微軟正黑體"/>
        </w:rPr>
        <w:t>外部應採用厚度 0.15mm 以上之高韌性 PVC 塑膠膠帶（顏色白色）。</w:t>
      </w:r>
    </w:p>
    <w:p w14:paraId="72E3465D" w14:textId="77777777" w:rsidR="006D5DBA" w:rsidRDefault="00000000">
      <w:pPr>
        <w:pStyle w:val="afc"/>
        <w:numPr>
          <w:ilvl w:val="0"/>
          <w:numId w:val="6"/>
        </w:numPr>
        <w:jc w:val="both"/>
        <w:rPr>
          <w:rFonts w:ascii="微軟正黑體" w:eastAsia="微軟正黑體" w:hAnsi="微軟正黑體" w:cs="新細明體;PMingLiU"/>
          <w:szCs w:val="24"/>
        </w:rPr>
      </w:pPr>
      <w:r>
        <w:rPr>
          <w:rFonts w:ascii="微軟正黑體" w:eastAsia="微軟正黑體" w:hAnsi="微軟正黑體" w:cs="Arial"/>
          <w:b/>
          <w:bCs/>
          <w:szCs w:val="24"/>
        </w:rPr>
        <w:t>纏繞工法</w:t>
      </w:r>
      <w:r>
        <w:rPr>
          <w:rFonts w:ascii="微軟正黑體" w:eastAsia="微軟正黑體" w:hAnsi="微軟正黑體" w:cs="Arial"/>
          <w:szCs w:val="24"/>
        </w:rPr>
        <w:t xml:space="preserve">：膠帶纏繞時應向同一方向均勻拉緊，且每圈重疊寬度不得少於膠帶寬度的 </w:t>
      </w:r>
      <w:r>
        <w:rPr>
          <w:rFonts w:ascii="微軟正黑體" w:eastAsia="微軟正黑體" w:hAnsi="微軟正黑體" w:cs="Arial"/>
          <w:b/>
          <w:bCs/>
          <w:szCs w:val="24"/>
        </w:rPr>
        <w:t>1/3（或 15mm 以上）</w:t>
      </w:r>
      <w:r>
        <w:rPr>
          <w:rFonts w:ascii="微軟正黑體" w:eastAsia="微軟正黑體" w:hAnsi="微軟正黑體" w:cs="Arial"/>
          <w:szCs w:val="24"/>
        </w:rPr>
        <w:t>，外觀須平整、無皺摺、無氣泡。</w:t>
      </w:r>
    </w:p>
    <w:p w14:paraId="140F5227"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接縫與局部處理：</w:t>
      </w:r>
      <w:proofErr w:type="gramStart"/>
      <w:r>
        <w:rPr>
          <w:rFonts w:ascii="微軟正黑體" w:eastAsia="微軟正黑體" w:hAnsi="微軟正黑體" w:cs="微軟正黑體"/>
        </w:rPr>
        <w:t>保溫材之</w:t>
      </w:r>
      <w:proofErr w:type="gramEnd"/>
      <w:r>
        <w:rPr>
          <w:rFonts w:ascii="微軟正黑體" w:eastAsia="微軟正黑體" w:hAnsi="微軟正黑體" w:cs="微軟正黑體"/>
        </w:rPr>
        <w:t>縱向剖開</w:t>
      </w:r>
      <w:proofErr w:type="gramStart"/>
      <w:r>
        <w:rPr>
          <w:rFonts w:ascii="微軟正黑體" w:eastAsia="微軟正黑體" w:hAnsi="微軟正黑體" w:cs="微軟正黑體"/>
        </w:rPr>
        <w:t>接縫及橫向</w:t>
      </w:r>
      <w:proofErr w:type="gramEnd"/>
      <w:r>
        <w:rPr>
          <w:rFonts w:ascii="微軟正黑體" w:eastAsia="微軟正黑體" w:hAnsi="微軟正黑體" w:cs="微軟正黑體"/>
        </w:rPr>
        <w:t>對接處，應先以專用</w:t>
      </w:r>
      <w:proofErr w:type="gramStart"/>
      <w:r>
        <w:rPr>
          <w:rFonts w:ascii="微軟正黑體" w:eastAsia="微軟正黑體" w:hAnsi="微軟正黑體" w:cs="微軟正黑體"/>
        </w:rPr>
        <w:t>接著劑密合</w:t>
      </w:r>
      <w:proofErr w:type="gramEnd"/>
      <w:r>
        <w:rPr>
          <w:rFonts w:ascii="微軟正黑體" w:eastAsia="微軟正黑體" w:hAnsi="微軟正黑體" w:cs="微軟正黑體"/>
        </w:rPr>
        <w:t>，再以膠帶確實加強包裹。管路之彎頭、</w:t>
      </w:r>
      <w:proofErr w:type="gramStart"/>
      <w:r>
        <w:rPr>
          <w:rFonts w:ascii="微軟正黑體" w:eastAsia="微軟正黑體" w:hAnsi="微軟正黑體" w:cs="微軟正黑體"/>
        </w:rPr>
        <w:t>閥類及</w:t>
      </w:r>
      <w:proofErr w:type="gramEnd"/>
      <w:r>
        <w:rPr>
          <w:rFonts w:ascii="微軟正黑體" w:eastAsia="微軟正黑體" w:hAnsi="微軟正黑體" w:cs="微軟正黑體"/>
        </w:rPr>
        <w:t>三通處</w:t>
      </w:r>
      <w:proofErr w:type="gramStart"/>
      <w:r>
        <w:rPr>
          <w:rFonts w:ascii="微軟正黑體" w:eastAsia="微軟正黑體" w:hAnsi="微軟正黑體" w:cs="微軟正黑體"/>
        </w:rPr>
        <w:t>應順形緻密</w:t>
      </w:r>
      <w:proofErr w:type="gramEnd"/>
      <w:r>
        <w:rPr>
          <w:rFonts w:ascii="微軟正黑體" w:eastAsia="微軟正黑體" w:hAnsi="微軟正黑體" w:cs="微軟正黑體"/>
        </w:rPr>
        <w:t>纏繞，不得漏縫。</w:t>
      </w:r>
    </w:p>
    <w:p w14:paraId="2ACF5918"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管路標示</w:t>
      </w:r>
    </w:p>
    <w:p w14:paraId="6F99A6A9" w14:textId="643C4945" w:rsidR="006D5DBA" w:rsidRDefault="00000000">
      <w:pPr>
        <w:pStyle w:val="afc"/>
        <w:ind w:left="1920"/>
        <w:jc w:val="both"/>
        <w:rPr>
          <w:rFonts w:ascii="微軟正黑體" w:eastAsia="微軟正黑體" w:hAnsi="微軟正黑體" w:cs="微軟正黑體"/>
        </w:rPr>
      </w:pPr>
      <w:r>
        <w:rPr>
          <w:rFonts w:ascii="微軟正黑體" w:eastAsia="微軟正黑體" w:hAnsi="微軟正黑體" w:cs="微軟正黑體"/>
        </w:rPr>
        <w:t>4.1所有本案冰水</w:t>
      </w:r>
      <w:r w:rsidR="004909BC">
        <w:rPr>
          <w:rFonts w:ascii="微軟正黑體" w:eastAsia="微軟正黑體" w:hAnsi="微軟正黑體" w:cs="微軟正黑體" w:hint="eastAsia"/>
        </w:rPr>
        <w:t>回水</w:t>
      </w:r>
      <w:r>
        <w:rPr>
          <w:rFonts w:ascii="微軟正黑體" w:eastAsia="微軟正黑體" w:hAnsi="微軟正黑體" w:cs="微軟正黑體"/>
        </w:rPr>
        <w:t>管路現場走向標示確實，標示標籤寬度不得小於10cm，標籤之色彩依原管路標示為主，字型不拘，以清晰易辨識為主。</w:t>
      </w:r>
    </w:p>
    <w:p w14:paraId="749BA364" w14:textId="77777777" w:rsidR="006D5DBA" w:rsidRDefault="00000000">
      <w:pPr>
        <w:pStyle w:val="afc"/>
        <w:numPr>
          <w:ilvl w:val="1"/>
          <w:numId w:val="5"/>
        </w:numPr>
        <w:rPr>
          <w:rFonts w:ascii="微軟正黑體" w:eastAsia="微軟正黑體" w:hAnsi="微軟正黑體" w:cs="微軟正黑體"/>
        </w:rPr>
      </w:pPr>
      <w:r>
        <w:rPr>
          <w:rFonts w:ascii="微軟正黑體" w:eastAsia="微軟正黑體" w:hAnsi="微軟正黑體" w:cs="微軟正黑體"/>
        </w:rPr>
        <w:t>張貼間隔與距離限制</w:t>
      </w:r>
    </w:p>
    <w:p w14:paraId="11D8393A" w14:textId="77777777" w:rsidR="006D5DBA" w:rsidRDefault="00000000">
      <w:pPr>
        <w:pStyle w:val="afc"/>
        <w:ind w:left="2280"/>
        <w:rPr>
          <w:rFonts w:ascii="微軟正黑體" w:eastAsia="微軟正黑體" w:hAnsi="微軟正黑體" w:cs="微軟正黑體"/>
        </w:rPr>
      </w:pPr>
      <w:r>
        <w:rPr>
          <w:rFonts w:ascii="微軟正黑體" w:eastAsia="微軟正黑體" w:hAnsi="微軟正黑體" w:cs="微軟正黑體"/>
        </w:rPr>
        <w:t>4.2.1直線管路：水平或垂直之直線管路，其標示貼紙（含流向箭頭與流體名稱）之張貼間隔最大不得超過 5 公尺（或依直徑大小定為 4 ~ 6 公尺）。</w:t>
      </w:r>
    </w:p>
    <w:p w14:paraId="2F183053" w14:textId="77777777" w:rsidR="006D5DBA" w:rsidRDefault="00000000">
      <w:pPr>
        <w:pStyle w:val="afc"/>
        <w:ind w:left="2280"/>
        <w:rPr>
          <w:rFonts w:ascii="微軟正黑體" w:eastAsia="微軟正黑體" w:hAnsi="微軟正黑體" w:cs="微軟正黑體"/>
        </w:rPr>
      </w:pPr>
      <w:r>
        <w:rPr>
          <w:rFonts w:ascii="微軟正黑體" w:eastAsia="微軟正黑體" w:hAnsi="微軟正黑體" w:cs="微軟正黑體"/>
        </w:rPr>
        <w:t>4.2.2垂直管路（追加條款）：垂直管路除依上述間隔張貼外，於每層樓地板自地面算起高 150 公分處（便於人員視線平視之高度），</w:t>
      </w:r>
      <w:proofErr w:type="gramStart"/>
      <w:r>
        <w:rPr>
          <w:rFonts w:ascii="微軟正黑體" w:eastAsia="微軟正黑體" w:hAnsi="微軟正黑體" w:cs="微軟正黑體"/>
        </w:rPr>
        <w:t>均應至少</w:t>
      </w:r>
      <w:proofErr w:type="gramEnd"/>
      <w:r>
        <w:rPr>
          <w:rFonts w:ascii="微軟正黑體" w:eastAsia="微軟正黑體" w:hAnsi="微軟正黑體" w:cs="微軟正黑體"/>
        </w:rPr>
        <w:t>張貼一張。</w:t>
      </w:r>
    </w:p>
    <w:p w14:paraId="4E02BA37" w14:textId="77777777" w:rsidR="006D5DBA" w:rsidRDefault="00000000">
      <w:pPr>
        <w:pStyle w:val="afc"/>
        <w:ind w:left="1920"/>
        <w:rPr>
          <w:rFonts w:ascii="微軟正黑體" w:eastAsia="微軟正黑體" w:hAnsi="微軟正黑體" w:cs="微軟正黑體"/>
        </w:rPr>
      </w:pPr>
      <w:r>
        <w:rPr>
          <w:rFonts w:ascii="微軟正黑體" w:eastAsia="微軟正黑體" w:hAnsi="微軟正黑體" w:cs="微軟正黑體"/>
        </w:rPr>
        <w:t>4.3強制張貼節點（不受長度限制）</w:t>
      </w:r>
      <w:r>
        <w:rPr>
          <w:rFonts w:ascii="微軟正黑體" w:eastAsia="微軟正黑體" w:hAnsi="微軟正黑體" w:cs="微軟正黑體"/>
        </w:rPr>
        <w:br/>
        <w:t>凡管路遭遇下列節點時，不論距離長短，</w:t>
      </w:r>
      <w:proofErr w:type="gramStart"/>
      <w:r>
        <w:rPr>
          <w:rFonts w:ascii="微軟正黑體" w:eastAsia="微軟正黑體" w:hAnsi="微軟正黑體" w:cs="微軟正黑體"/>
        </w:rPr>
        <w:t>均應於</w:t>
      </w:r>
      <w:proofErr w:type="gramEnd"/>
      <w:r>
        <w:rPr>
          <w:rFonts w:ascii="微軟正黑體" w:eastAsia="微軟正黑體" w:hAnsi="微軟正黑體" w:cs="微軟正黑體"/>
        </w:rPr>
        <w:t>節點前後 30~50 公分範圍內確實張貼識別標示：</w:t>
      </w:r>
    </w:p>
    <w:p w14:paraId="59AEB68E"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4.3.1管路轉彎、變更方向處（彎頭前後）。</w:t>
      </w:r>
    </w:p>
    <w:p w14:paraId="1E9E58FA"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管路穿過牆壁、隔間或樓地板之前後兩側。</w:t>
      </w:r>
    </w:p>
    <w:p w14:paraId="3BC83E2C"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4.3.2接近</w:t>
      </w:r>
      <w:proofErr w:type="gramStart"/>
      <w:r>
        <w:rPr>
          <w:rFonts w:ascii="微軟正黑體" w:eastAsia="微軟正黑體" w:hAnsi="微軟正黑體" w:cs="微軟正黑體"/>
        </w:rPr>
        <w:t>所有閥</w:t>
      </w:r>
      <w:proofErr w:type="gramEnd"/>
      <w:r>
        <w:rPr>
          <w:rFonts w:ascii="微軟正黑體" w:eastAsia="微軟正黑體" w:hAnsi="微軟正黑體" w:cs="微軟正黑體"/>
        </w:rPr>
        <w:t>門（控制閥、止回閥、閘閥）、法蘭（Flange）及4.3.3分歧管路（三通）之周邊。</w:t>
      </w:r>
    </w:p>
    <w:p w14:paraId="0C05DF2D"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4.3.4管路出入設備（如主機、水泵）之</w:t>
      </w:r>
      <w:proofErr w:type="gramStart"/>
      <w:r>
        <w:rPr>
          <w:rFonts w:ascii="微軟正黑體" w:eastAsia="微軟正黑體" w:hAnsi="微軟正黑體" w:cs="微軟正黑體"/>
        </w:rPr>
        <w:t>接口端</w:t>
      </w:r>
      <w:proofErr w:type="gramEnd"/>
      <w:r>
        <w:rPr>
          <w:rFonts w:ascii="微軟正黑體" w:eastAsia="微軟正黑體" w:hAnsi="微軟正黑體" w:cs="微軟正黑體"/>
        </w:rPr>
        <w:t>。</w:t>
      </w:r>
    </w:p>
    <w:p w14:paraId="584F75DF" w14:textId="77777777" w:rsidR="006D5DBA" w:rsidRDefault="00000000">
      <w:pPr>
        <w:pStyle w:val="afc"/>
        <w:ind w:left="1920"/>
        <w:rPr>
          <w:rFonts w:ascii="微軟正黑體" w:eastAsia="微軟正黑體" w:hAnsi="微軟正黑體" w:cs="微軟正黑體"/>
        </w:rPr>
      </w:pPr>
      <w:r>
        <w:rPr>
          <w:rFonts w:ascii="微軟正黑體" w:eastAsia="微軟正黑體" w:hAnsi="微軟正黑體" w:cs="微軟正黑體"/>
        </w:rPr>
        <w:lastRenderedPageBreak/>
        <w:t>4.4施工外觀與排列要求</w:t>
      </w:r>
    </w:p>
    <w:p w14:paraId="7B69D283" w14:textId="77777777" w:rsidR="006D5DBA" w:rsidRDefault="00000000">
      <w:pPr>
        <w:pStyle w:val="afc"/>
        <w:ind w:left="2160"/>
        <w:rPr>
          <w:rFonts w:ascii="微軟正黑體" w:eastAsia="微軟正黑體" w:hAnsi="微軟正黑體" w:cs="微軟正黑體"/>
        </w:rPr>
      </w:pPr>
      <w:r>
        <w:rPr>
          <w:rFonts w:ascii="微軟正黑體" w:eastAsia="微軟正黑體" w:hAnsi="微軟正黑體" w:cs="微軟正黑體"/>
        </w:rPr>
        <w:t>4.4.1方向一致性：流向箭頭之指示方向必須與管內流體實際流動之方向完全相同。</w:t>
      </w:r>
      <w:r>
        <w:rPr>
          <w:rFonts w:ascii="微軟正黑體" w:eastAsia="微軟正黑體" w:hAnsi="微軟正黑體" w:cs="微軟正黑體"/>
        </w:rPr>
        <w:br/>
        <w:t>4.4.2視線對齊：多支管線併排配置時，水平管線標籤之中心線應對齊；垂直管線標籤</w:t>
      </w:r>
      <w:proofErr w:type="gramStart"/>
      <w:r>
        <w:rPr>
          <w:rFonts w:ascii="微軟正黑體" w:eastAsia="微軟正黑體" w:hAnsi="微軟正黑體" w:cs="微軟正黑體"/>
        </w:rPr>
        <w:t>之上緣應</w:t>
      </w:r>
      <w:proofErr w:type="gramEnd"/>
      <w:r>
        <w:rPr>
          <w:rFonts w:ascii="微軟正黑體" w:eastAsia="微軟正黑體" w:hAnsi="微軟正黑體" w:cs="微軟正黑體"/>
        </w:rPr>
        <w:t>對齊，以維持整體視覺美觀。</w:t>
      </w:r>
      <w:r>
        <w:rPr>
          <w:rFonts w:ascii="微軟正黑體" w:eastAsia="微軟正黑體" w:hAnsi="微軟正黑體" w:cs="微軟正黑體"/>
        </w:rPr>
        <w:br/>
        <w:t>4.4.3視角朝向：貼紙張貼位置應面向走道或保養維修操作面，確保人員進入機房或打開天花板檢修口時可輕易辨識。</w:t>
      </w:r>
    </w:p>
    <w:p w14:paraId="25BDD803"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工程回收物：</w:t>
      </w:r>
    </w:p>
    <w:p w14:paraId="7F14BEA2" w14:textId="77777777" w:rsidR="006D5DBA" w:rsidRDefault="00000000">
      <w:pPr>
        <w:pStyle w:val="afc"/>
        <w:ind w:left="1440"/>
        <w:jc w:val="both"/>
        <w:rPr>
          <w:rFonts w:ascii="微軟正黑體" w:eastAsia="微軟正黑體" w:hAnsi="微軟正黑體" w:cs="微軟正黑體"/>
        </w:rPr>
      </w:pPr>
      <w:r>
        <w:rPr>
          <w:rFonts w:ascii="微軟正黑體" w:eastAsia="微軟正黑體" w:hAnsi="微軟正黑體" w:cs="微軟正黑體"/>
        </w:rPr>
        <w:t>包含工程內所有安裝、拆除及使用料件，皆由本案承包商由合法管道處置，將回收物帶出須附上合格廠處理證明。</w:t>
      </w:r>
    </w:p>
    <w:p w14:paraId="59E23AFF"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工作安全：</w:t>
      </w:r>
    </w:p>
    <w:p w14:paraId="56FE2313" w14:textId="77777777" w:rsidR="006D5DBA" w:rsidRDefault="00000000">
      <w:pPr>
        <w:pStyle w:val="afc"/>
        <w:ind w:left="1440"/>
        <w:jc w:val="both"/>
        <w:rPr>
          <w:rFonts w:ascii="微軟正黑體" w:eastAsia="微軟正黑體" w:hAnsi="微軟正黑體" w:cs="微軟正黑體"/>
        </w:rPr>
      </w:pPr>
      <w:r>
        <w:rPr>
          <w:rFonts w:ascii="微軟正黑體" w:eastAsia="微軟正黑體" w:hAnsi="微軟正黑體" w:cs="微軟正黑體"/>
        </w:rPr>
        <w:t>管路保溫大部分皆為2m以上作業，工作人員皆須穿戴符合標準及作業場所高度之</w:t>
      </w:r>
      <w:proofErr w:type="gramStart"/>
      <w:r>
        <w:rPr>
          <w:rFonts w:ascii="微軟正黑體" w:eastAsia="微軟正黑體" w:hAnsi="微軟正黑體" w:cs="微軟正黑體"/>
        </w:rPr>
        <w:t>雙扣安全</w:t>
      </w:r>
      <w:proofErr w:type="gramEnd"/>
      <w:r>
        <w:rPr>
          <w:rFonts w:ascii="微軟正黑體" w:eastAsia="微軟正黑體" w:hAnsi="微軟正黑體" w:cs="微軟正黑體"/>
        </w:rPr>
        <w:t>背帶，</w:t>
      </w:r>
      <w:proofErr w:type="gramStart"/>
      <w:r>
        <w:rPr>
          <w:rFonts w:ascii="微軟正黑體" w:eastAsia="微軟正黑體" w:hAnsi="微軟正黑體" w:cs="微軟正黑體"/>
        </w:rPr>
        <w:t>攀爬以高空作業</w:t>
      </w:r>
      <w:proofErr w:type="gramEnd"/>
      <w:r>
        <w:rPr>
          <w:rFonts w:ascii="微軟正黑體" w:eastAsia="微軟正黑體" w:hAnsi="微軟正黑體" w:cs="微軟正黑體"/>
        </w:rPr>
        <w:t>車為</w:t>
      </w:r>
      <w:proofErr w:type="gramStart"/>
      <w:r>
        <w:rPr>
          <w:rFonts w:ascii="微軟正黑體" w:eastAsia="微軟正黑體" w:hAnsi="微軟正黑體" w:cs="微軟正黑體"/>
        </w:rPr>
        <w:t>準</w:t>
      </w:r>
      <w:proofErr w:type="gramEnd"/>
      <w:r>
        <w:rPr>
          <w:rFonts w:ascii="微軟正黑體" w:eastAsia="微軟正黑體" w:hAnsi="微軟正黑體" w:cs="微軟正黑體"/>
        </w:rPr>
        <w:t>。</w:t>
      </w:r>
    </w:p>
    <w:p w14:paraId="6E9472F4"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工程作業時段：</w:t>
      </w:r>
    </w:p>
    <w:p w14:paraId="500AFFCA" w14:textId="77777777" w:rsidR="006D5DBA" w:rsidRDefault="00000000">
      <w:pPr>
        <w:ind w:left="1440"/>
        <w:jc w:val="both"/>
      </w:pPr>
      <w:r>
        <w:rPr>
          <w:rFonts w:ascii="微軟正黑體" w:eastAsia="微軟正黑體" w:hAnsi="微軟正黑體" w:cs="微軟正黑體"/>
        </w:rPr>
        <w:t>平常日原則施工時間為17:30~23:00、假日（週六、週日及例假日）為08:00~23:00。承攬商須於得標後一</w:t>
      </w:r>
      <w:proofErr w:type="gramStart"/>
      <w:r>
        <w:rPr>
          <w:rFonts w:ascii="微軟正黑體" w:eastAsia="微軟正黑體" w:hAnsi="微軟正黑體" w:cs="微軟正黑體"/>
        </w:rPr>
        <w:t>週</w:t>
      </w:r>
      <w:proofErr w:type="gramEnd"/>
      <w:r>
        <w:rPr>
          <w:rFonts w:ascii="微軟正黑體" w:eastAsia="微軟正黑體" w:hAnsi="微軟正黑體" w:cs="微軟正黑體"/>
        </w:rPr>
        <w:t>內提出施工時程表供業主審查；18:00後之夜間施工須另依規定提出申請，實際施工時間以核准內容為</w:t>
      </w:r>
      <w:proofErr w:type="gramStart"/>
      <w:r>
        <w:rPr>
          <w:rFonts w:ascii="微軟正黑體" w:eastAsia="微軟正黑體" w:hAnsi="微軟正黑體" w:cs="微軟正黑體"/>
        </w:rPr>
        <w:t>準</w:t>
      </w:r>
      <w:proofErr w:type="gramEnd"/>
      <w:r>
        <w:rPr>
          <w:rFonts w:ascii="微軟正黑體" w:eastAsia="微軟正黑體" w:hAnsi="微軟正黑體" w:cs="微軟正黑體"/>
        </w:rPr>
        <w:t>。</w:t>
      </w:r>
    </w:p>
    <w:p w14:paraId="5103B9AE" w14:textId="77777777" w:rsidR="006D5DBA" w:rsidRDefault="006D5DBA">
      <w:pPr>
        <w:pStyle w:val="afc"/>
        <w:ind w:left="1440"/>
        <w:jc w:val="both"/>
        <w:rPr>
          <w:rFonts w:ascii="微軟正黑體" w:eastAsia="微軟正黑體" w:hAnsi="微軟正黑體" w:cs="微軟正黑體"/>
        </w:rPr>
      </w:pPr>
    </w:p>
    <w:p w14:paraId="16F72520"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一般規定：</w:t>
      </w:r>
    </w:p>
    <w:p w14:paraId="2257F918"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szCs w:val="24"/>
        </w:rPr>
        <w:t>未明列之細項，依工研院之作業慣例執行之，承攬商不得有異。</w:t>
      </w:r>
    </w:p>
    <w:p w14:paraId="23FBD79A" w14:textId="5C92DD0A"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本案現場無既有完整CAD管路圖面可供施工使用，承攬商應於施工前完成現場實際量測、冰水</w:t>
      </w:r>
      <w:r w:rsidR="004909BC">
        <w:rPr>
          <w:rFonts w:ascii="微軟正黑體" w:eastAsia="微軟正黑體" w:hAnsi="微軟正黑體" w:cs="微軟正黑體" w:hint="eastAsia"/>
          <w:color w:val="000000"/>
        </w:rPr>
        <w:t>回水</w:t>
      </w:r>
      <w:r>
        <w:rPr>
          <w:rFonts w:ascii="微軟正黑體" w:eastAsia="微軟正黑體" w:hAnsi="微軟正黑體" w:cs="微軟正黑體"/>
          <w:color w:val="000000"/>
        </w:rPr>
        <w:t>管路路徑確認及設備位置確認，並依現況繪製施工配置圖（CAD）。圖面內容至少應標示管路路徑、管徑、流向、</w:t>
      </w:r>
      <w:proofErr w:type="gramStart"/>
      <w:r>
        <w:rPr>
          <w:rFonts w:ascii="微軟正黑體" w:eastAsia="微軟正黑體" w:hAnsi="微軟正黑體" w:cs="微軟正黑體"/>
          <w:color w:val="000000"/>
        </w:rPr>
        <w:t>主要閥件</w:t>
      </w:r>
      <w:proofErr w:type="gramEnd"/>
      <w:r>
        <w:rPr>
          <w:rFonts w:ascii="微軟正黑體" w:eastAsia="微軟正黑體" w:hAnsi="微軟正黑體" w:cs="微軟正黑體"/>
          <w:color w:val="000000"/>
        </w:rPr>
        <w:t>、設備接口及本案施工範圍，經業主審核確認後方可施作。</w:t>
      </w:r>
    </w:p>
    <w:p w14:paraId="0F8AE62C"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工程完成後，承攬商應依實際完工現況修正並繪製竣工圖（As-built Drawing），不得僅沿用</w:t>
      </w:r>
      <w:proofErr w:type="gramStart"/>
      <w:r>
        <w:rPr>
          <w:rFonts w:ascii="微軟正黑體" w:eastAsia="微軟正黑體" w:hAnsi="微軟正黑體" w:cs="微軟正黑體"/>
          <w:color w:val="000000"/>
        </w:rPr>
        <w:t>施工前圖面</w:t>
      </w:r>
      <w:proofErr w:type="gramEnd"/>
      <w:r>
        <w:rPr>
          <w:rFonts w:ascii="微軟正黑體" w:eastAsia="微軟正黑體" w:hAnsi="微軟正黑體" w:cs="微軟正黑體"/>
          <w:color w:val="000000"/>
        </w:rPr>
        <w:t>；施工期間如有管路路徑、施工範圍或現場條件調整，</w:t>
      </w:r>
      <w:proofErr w:type="gramStart"/>
      <w:r>
        <w:rPr>
          <w:rFonts w:ascii="微軟正黑體" w:eastAsia="微軟正黑體" w:hAnsi="微軟正黑體" w:cs="微軟正黑體"/>
          <w:color w:val="000000"/>
        </w:rPr>
        <w:t>均應反映</w:t>
      </w:r>
      <w:proofErr w:type="gramEnd"/>
      <w:r>
        <w:rPr>
          <w:rFonts w:ascii="微軟正黑體" w:eastAsia="微軟正黑體" w:hAnsi="微軟正黑體" w:cs="微軟正黑體"/>
          <w:color w:val="000000"/>
        </w:rPr>
        <w:t>於竣工圖，圖面內容須與現場實際配置一致。</w:t>
      </w:r>
    </w:p>
    <w:p w14:paraId="5EACD470"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承攬商施工時程需配合業主之需求，倘若需加班配合或於假日停電施工時，承攬商不得藉故拖延或加價。</w:t>
      </w:r>
    </w:p>
    <w:p w14:paraId="275EBE35"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本次作業相關所有五金零件(包括螺絲、吊架、</w:t>
      </w:r>
      <w:proofErr w:type="gramStart"/>
      <w:r>
        <w:rPr>
          <w:rFonts w:ascii="微軟正黑體" w:eastAsia="微軟正黑體" w:hAnsi="微軟正黑體" w:cs="微軟正黑體"/>
          <w:color w:val="000000"/>
        </w:rPr>
        <w:t>固定夾</w:t>
      </w:r>
      <w:proofErr w:type="gramEnd"/>
      <w:r>
        <w:rPr>
          <w:rFonts w:ascii="微軟正黑體" w:eastAsia="微軟正黑體" w:hAnsi="微軟正黑體" w:cs="微軟正黑體"/>
          <w:color w:val="000000"/>
        </w:rPr>
        <w:t>、支架…等)皆需使用SUS304級或更佳之不</w:t>
      </w:r>
      <w:proofErr w:type="gramStart"/>
      <w:r>
        <w:rPr>
          <w:rFonts w:ascii="微軟正黑體" w:eastAsia="微軟正黑體" w:hAnsi="微軟正黑體" w:cs="微軟正黑體"/>
          <w:color w:val="000000"/>
        </w:rPr>
        <w:t>銹</w:t>
      </w:r>
      <w:proofErr w:type="gramEnd"/>
      <w:r>
        <w:rPr>
          <w:rFonts w:ascii="微軟正黑體" w:eastAsia="微軟正黑體" w:hAnsi="微軟正黑體" w:cs="微軟正黑體"/>
          <w:color w:val="000000"/>
        </w:rPr>
        <w:t>鋼材質。</w:t>
      </w:r>
    </w:p>
    <w:p w14:paraId="78B3B1D8"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所有電線和訊號線及</w:t>
      </w:r>
      <w:proofErr w:type="gramStart"/>
      <w:r>
        <w:rPr>
          <w:rFonts w:ascii="微軟正黑體" w:eastAsia="微軟正黑體" w:hAnsi="微軟正黑體" w:cs="微軟正黑體"/>
          <w:color w:val="000000"/>
        </w:rPr>
        <w:t>管路均需在</w:t>
      </w:r>
      <w:proofErr w:type="gramEnd"/>
      <w:r>
        <w:rPr>
          <w:rFonts w:ascii="微軟正黑體" w:eastAsia="微軟正黑體" w:hAnsi="微軟正黑體" w:cs="微軟正黑體"/>
          <w:color w:val="000000"/>
        </w:rPr>
        <w:t>其上做「管路性質」及「使用設備」的標示，其格式並須符合業者的合理要求。</w:t>
      </w:r>
    </w:p>
    <w:p w14:paraId="20BAAD52"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szCs w:val="24"/>
        </w:rPr>
        <w:t>承攬商需投保保險，若於作業進行中造成所有人員生命安全危害及設備損失，承攬商需負全部賠償責任。</w:t>
      </w:r>
    </w:p>
    <w:p w14:paraId="3497F463"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szCs w:val="24"/>
        </w:rPr>
        <w:lastRenderedPageBreak/>
        <w:t>施工中若有</w:t>
      </w:r>
      <w:proofErr w:type="gramStart"/>
      <w:r>
        <w:rPr>
          <w:rFonts w:ascii="微軟正黑體" w:eastAsia="微軟正黑體" w:hAnsi="微軟正黑體" w:cs="微軟正黑體"/>
          <w:color w:val="000000"/>
          <w:szCs w:val="24"/>
        </w:rPr>
        <w:t>不</w:t>
      </w:r>
      <w:proofErr w:type="gramEnd"/>
      <w:r>
        <w:rPr>
          <w:rFonts w:ascii="微軟正黑體" w:eastAsia="微軟正黑體" w:hAnsi="微軟正黑體" w:cs="微軟正黑體"/>
          <w:color w:val="000000"/>
          <w:szCs w:val="24"/>
        </w:rPr>
        <w:t>預期情況，在不妨礙需求下，業主負責人可依實際狀況調整。</w:t>
      </w:r>
    </w:p>
    <w:p w14:paraId="44874C63"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施工所需水電：承攬商於施工時所需水電應向業主申請，承攬商使用業主現有之水電設備，須注意不得超過供電設備之容量。</w:t>
      </w:r>
    </w:p>
    <w:p w14:paraId="158A4450"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安全措施：施工時承攬商應派現場專任負責人到場，以便連</w:t>
      </w:r>
      <w:proofErr w:type="gramStart"/>
      <w:r>
        <w:rPr>
          <w:rFonts w:ascii="微軟正黑體" w:eastAsia="微軟正黑體" w:hAnsi="微軟正黑體" w:cs="微軟正黑體"/>
          <w:color w:val="000000"/>
        </w:rPr>
        <w:t>繫</w:t>
      </w:r>
      <w:proofErr w:type="gramEnd"/>
      <w:r>
        <w:rPr>
          <w:rFonts w:ascii="微軟正黑體" w:eastAsia="微軟正黑體" w:hAnsi="微軟正黑體" w:cs="微軟正黑體"/>
          <w:color w:val="000000"/>
        </w:rPr>
        <w:t>，施工安全為本合約要求之部分，如因處理不當而發生事端之後果，包括人員傷亡、業主房屋機器設備之損壞等，</w:t>
      </w:r>
      <w:proofErr w:type="gramStart"/>
      <w:r>
        <w:rPr>
          <w:rFonts w:ascii="微軟正黑體" w:eastAsia="微軟正黑體" w:hAnsi="微軟正黑體" w:cs="微軟正黑體"/>
          <w:color w:val="000000"/>
        </w:rPr>
        <w:t>均應由</w:t>
      </w:r>
      <w:proofErr w:type="gramEnd"/>
      <w:r>
        <w:rPr>
          <w:rFonts w:ascii="微軟正黑體" w:eastAsia="微軟正黑體" w:hAnsi="微軟正黑體" w:cs="微軟正黑體"/>
          <w:color w:val="000000"/>
        </w:rPr>
        <w:t>承攬商負全部責任。</w:t>
      </w:r>
      <w:proofErr w:type="gramStart"/>
      <w:r>
        <w:rPr>
          <w:rFonts w:ascii="微軟正黑體" w:eastAsia="微軟正黑體" w:hAnsi="微軟正黑體" w:cs="微軟正黑體"/>
          <w:color w:val="000000"/>
        </w:rPr>
        <w:t>詳後述</w:t>
      </w:r>
      <w:proofErr w:type="gramEnd"/>
      <w:r>
        <w:rPr>
          <w:rFonts w:ascii="微軟正黑體" w:eastAsia="微軟正黑體" w:hAnsi="微軟正黑體" w:cs="微軟正黑體"/>
          <w:color w:val="000000"/>
        </w:rPr>
        <w:t>工作安全注意事項。</w:t>
      </w:r>
    </w:p>
    <w:p w14:paraId="746B7C70"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施工配合：施工中承攬商應與其他承攬商密切配合，如與其他承攬商發生問題時，由業主協調之。</w:t>
      </w:r>
    </w:p>
    <w:p w14:paraId="5A91CA8C"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szCs w:val="24"/>
        </w:rPr>
        <w:t>打洞修補：</w:t>
      </w:r>
      <w:proofErr w:type="gramStart"/>
      <w:r>
        <w:rPr>
          <w:rFonts w:ascii="微軟正黑體" w:eastAsia="微軟正黑體" w:hAnsi="微軟正黑體" w:cs="微軟正黑體"/>
          <w:color w:val="000000"/>
        </w:rPr>
        <w:t>承攬商按作業</w:t>
      </w:r>
      <w:proofErr w:type="gramEnd"/>
      <w:r>
        <w:rPr>
          <w:rFonts w:ascii="微軟正黑體" w:eastAsia="微軟正黑體" w:hAnsi="微軟正黑體" w:cs="微軟正黑體"/>
          <w:color w:val="000000"/>
        </w:rPr>
        <w:t>實際需要，如需對建築物鑿孔時，應先繪圖提經業主同意後方可施工。事後承攬商應負責配合現場狀況，修補恢復。</w:t>
      </w:r>
    </w:p>
    <w:p w14:paraId="2614526C"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作業變更：在施工過程中，如遇現場與設計圖面有不符合，須變更原設計圖面才可施工時，承攬商應繪製補充圖樣，此補充圖樣應先送業主核准後方可施工。業主核准使用之補充圖樣即視同合約施工圖之一部分。如因承攬商工作錯誤所致，而增加之費用則由承攬商負責。其逾期完工之</w:t>
      </w:r>
      <w:proofErr w:type="gramStart"/>
      <w:r>
        <w:rPr>
          <w:rFonts w:ascii="微軟正黑體" w:eastAsia="微軟正黑體" w:hAnsi="微軟正黑體" w:cs="微軟正黑體"/>
          <w:color w:val="000000"/>
        </w:rPr>
        <w:t>日數按約計</w:t>
      </w:r>
      <w:proofErr w:type="gramEnd"/>
      <w:r>
        <w:rPr>
          <w:rFonts w:ascii="微軟正黑體" w:eastAsia="微軟正黑體" w:hAnsi="微軟正黑體" w:cs="微軟正黑體"/>
          <w:color w:val="000000"/>
        </w:rPr>
        <w:t>罰，若因其實際需要，而非承攬商錯誤所致者，增減之費用及延長完工日期，應由承攬商依據實述詳明列表，送經業主</w:t>
      </w:r>
      <w:proofErr w:type="gramStart"/>
      <w:r>
        <w:rPr>
          <w:rFonts w:ascii="微軟正黑體" w:eastAsia="微軟正黑體" w:hAnsi="微軟正黑體" w:cs="微軟正黑體"/>
          <w:color w:val="000000"/>
        </w:rPr>
        <w:t>核淮後</w:t>
      </w:r>
      <w:proofErr w:type="gramEnd"/>
      <w:r>
        <w:rPr>
          <w:rFonts w:ascii="微軟正黑體" w:eastAsia="微軟正黑體" w:hAnsi="微軟正黑體" w:cs="微軟正黑體"/>
          <w:color w:val="000000"/>
        </w:rPr>
        <w:t>，於總價內增減，因此延長工期所增加之管理費，由承攬商據實申報，業主核訂之。</w:t>
      </w:r>
    </w:p>
    <w:p w14:paraId="74AAD2D9"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3" w:name="__RefHeading___Toc497731293"/>
      <w:bookmarkEnd w:id="3"/>
      <w:r>
        <w:rPr>
          <w:rFonts w:ascii="微軟正黑體" w:eastAsia="微軟正黑體" w:hAnsi="微軟正黑體" w:cs="微軟正黑體"/>
          <w:bCs/>
          <w:sz w:val="28"/>
        </w:rPr>
        <w:t>參、工作環境、危害因素說明</w:t>
      </w:r>
    </w:p>
    <w:p w14:paraId="5867B1F6" w14:textId="77777777" w:rsidR="006D5DBA" w:rsidRDefault="00000000">
      <w:pPr>
        <w:ind w:left="480"/>
        <w:jc w:val="both"/>
        <w:rPr>
          <w:rFonts w:ascii="微軟正黑體" w:eastAsia="微軟正黑體" w:hAnsi="微軟正黑體" w:cs="微軟正黑體"/>
        </w:rPr>
      </w:pPr>
      <w:r>
        <w:rPr>
          <w:rFonts w:ascii="微軟正黑體" w:eastAsia="微軟正黑體" w:hAnsi="微軟正黑體" w:cs="微軟正黑體"/>
        </w:rPr>
        <w:t>本案施工地點位於廠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區內，</w:t>
      </w:r>
      <w:proofErr w:type="gramStart"/>
      <w:r>
        <w:rPr>
          <w:rFonts w:ascii="微軟正黑體" w:eastAsia="微軟正黑體" w:hAnsi="微軟正黑體" w:cs="微軟正黑體"/>
        </w:rPr>
        <w:t>週</w:t>
      </w:r>
      <w:proofErr w:type="gramEnd"/>
      <w:r>
        <w:rPr>
          <w:rFonts w:ascii="微軟正黑體" w:eastAsia="微軟正黑體" w:hAnsi="微軟正黑體" w:cs="微軟正黑體"/>
        </w:rPr>
        <w:t>圍環境皆為廠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運轉設施，</w:t>
      </w:r>
      <w:proofErr w:type="gramStart"/>
      <w:r>
        <w:rPr>
          <w:rFonts w:ascii="微軟正黑體" w:eastAsia="微軟正黑體" w:hAnsi="微軟正黑體" w:cs="微軟正黑體"/>
        </w:rPr>
        <w:t>為求本作業</w:t>
      </w:r>
      <w:proofErr w:type="gramEnd"/>
      <w:r>
        <w:rPr>
          <w:rFonts w:ascii="微軟正黑體" w:eastAsia="微軟正黑體" w:hAnsi="微軟正黑體" w:cs="微軟正黑體"/>
        </w:rPr>
        <w:t>進行順利且無發生任何意外，列出下列事項並且要求各協力商遵守，包含但不限定於出入動線管制、環境整潔維持等。</w:t>
      </w:r>
    </w:p>
    <w:p w14:paraId="1D231032" w14:textId="77777777" w:rsidR="006D5DBA" w:rsidRDefault="00000000">
      <w:pPr>
        <w:numPr>
          <w:ilvl w:val="1"/>
          <w:numId w:val="4"/>
        </w:numPr>
        <w:jc w:val="both"/>
        <w:rPr>
          <w:rFonts w:ascii="微軟正黑體" w:eastAsia="微軟正黑體" w:hAnsi="微軟正黑體" w:cs="微軟正黑體"/>
        </w:rPr>
      </w:pPr>
      <w:r>
        <w:rPr>
          <w:rFonts w:ascii="微軟正黑體" w:eastAsia="微軟正黑體" w:hAnsi="微軟正黑體" w:cs="微軟正黑體"/>
          <w:b/>
        </w:rPr>
        <w:t>出入動線管制：</w:t>
      </w:r>
    </w:p>
    <w:p w14:paraId="6531223B"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出入時間：</w:t>
      </w:r>
    </w:p>
    <w:p w14:paraId="28FB29FF" w14:textId="77777777" w:rsidR="006D5DBA" w:rsidRDefault="00000000">
      <w:pPr>
        <w:ind w:left="1440"/>
        <w:jc w:val="both"/>
        <w:rPr>
          <w:rFonts w:ascii="微軟正黑體" w:eastAsia="微軟正黑體" w:hAnsi="微軟正黑體" w:cs="微軟正黑體"/>
        </w:rPr>
      </w:pPr>
      <w:r>
        <w:rPr>
          <w:rFonts w:ascii="微軟正黑體" w:eastAsia="微軟正黑體" w:hAnsi="微軟正黑體" w:cs="微軟正黑體"/>
        </w:rPr>
        <w:t>平常日(週一至週五)為17:30~23:00、假日(週六、週日以及例假日)為08:00~23:00。</w:t>
      </w:r>
    </w:p>
    <w:p w14:paraId="4686D914"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出入動線：</w:t>
      </w:r>
    </w:p>
    <w:p w14:paraId="3E42AC02" w14:textId="77777777" w:rsidR="006D5DBA" w:rsidRDefault="00000000">
      <w:pPr>
        <w:ind w:left="1440"/>
        <w:jc w:val="both"/>
        <w:rPr>
          <w:rFonts w:ascii="微軟正黑體" w:eastAsia="微軟正黑體" w:hAnsi="微軟正黑體" w:cs="微軟正黑體"/>
        </w:rPr>
      </w:pPr>
      <w:r>
        <w:rPr>
          <w:rFonts w:ascii="微軟正黑體" w:eastAsia="微軟正黑體" w:hAnsi="微軟正黑體" w:cs="微軟正黑體"/>
        </w:rPr>
        <w:t>人員以及物料出入動線為17館1F廠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區大門或是側門，如圖1所示。</w:t>
      </w:r>
    </w:p>
    <w:p w14:paraId="1ECD971B"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休息區：</w:t>
      </w:r>
    </w:p>
    <w:p w14:paraId="502A9A22" w14:textId="77777777" w:rsidR="006D5DBA" w:rsidRDefault="00000000">
      <w:pPr>
        <w:numPr>
          <w:ilvl w:val="3"/>
          <w:numId w:val="4"/>
        </w:numPr>
        <w:jc w:val="both"/>
        <w:rPr>
          <w:rFonts w:ascii="微軟正黑體" w:eastAsia="微軟正黑體" w:hAnsi="微軟正黑體" w:cs="微軟正黑體"/>
        </w:rPr>
      </w:pPr>
      <w:r>
        <w:rPr>
          <w:rFonts w:ascii="微軟正黑體" w:eastAsia="微軟正黑體" w:hAnsi="微軟正黑體" w:cs="微軟正黑體"/>
          <w:b/>
        </w:rPr>
        <w:t>吸菸區：</w:t>
      </w:r>
    </w:p>
    <w:p w14:paraId="0D67F474" w14:textId="77777777" w:rsidR="006D5DBA" w:rsidRDefault="00000000">
      <w:pPr>
        <w:ind w:left="1920"/>
        <w:jc w:val="both"/>
      </w:pPr>
      <w:r>
        <w:rPr>
          <w:rFonts w:ascii="微軟正黑體" w:eastAsia="微軟正黑體" w:hAnsi="微軟正黑體" w:cs="微軟正黑體"/>
        </w:rPr>
        <w:t>吸菸區一律位於室外，共兩處如15館、17館以及25館交界處樹蔭下，以及17館後門(廠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區出入門)外機車停車棚。除指定吸菸區以外其餘場所不得吸菸。</w:t>
      </w:r>
    </w:p>
    <w:p w14:paraId="6819C168" w14:textId="77777777" w:rsidR="006D5DBA" w:rsidRDefault="00000000">
      <w:pPr>
        <w:numPr>
          <w:ilvl w:val="3"/>
          <w:numId w:val="4"/>
        </w:numPr>
        <w:jc w:val="both"/>
        <w:rPr>
          <w:rFonts w:ascii="微軟正黑體" w:eastAsia="微軟正黑體" w:hAnsi="微軟正黑體" w:cs="微軟正黑體"/>
        </w:rPr>
      </w:pPr>
      <w:r>
        <w:rPr>
          <w:rFonts w:ascii="微軟正黑體" w:eastAsia="微軟正黑體" w:hAnsi="微軟正黑體" w:cs="微軟正黑體"/>
          <w:b/>
        </w:rPr>
        <w:lastRenderedPageBreak/>
        <w:t>用餐區：</w:t>
      </w:r>
    </w:p>
    <w:p w14:paraId="3F1DA69F" w14:textId="77777777" w:rsidR="006D5DBA" w:rsidRDefault="00000000">
      <w:pPr>
        <w:ind w:left="1920"/>
        <w:jc w:val="both"/>
      </w:pPr>
      <w:r>
        <w:rPr>
          <w:rFonts w:ascii="微軟正黑體" w:eastAsia="微軟正黑體" w:hAnsi="微軟正黑體" w:cs="微軟正黑體"/>
        </w:rPr>
        <w:t>室內用餐區為17館廠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區施工地點。室外用餐區為15館、17館以及25館交界處樹蔭下，以及17館後門(廠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區出入門)外機車停車棚。</w:t>
      </w:r>
    </w:p>
    <w:p w14:paraId="6F8DF48E"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廁所：</w:t>
      </w:r>
    </w:p>
    <w:p w14:paraId="33EBE0C6" w14:textId="77777777" w:rsidR="006D5DBA" w:rsidRDefault="00000000">
      <w:pPr>
        <w:ind w:left="1440"/>
        <w:jc w:val="both"/>
        <w:rPr>
          <w:rFonts w:ascii="微軟正黑體" w:eastAsia="微軟正黑體" w:hAnsi="微軟正黑體" w:cs="微軟正黑體"/>
        </w:rPr>
      </w:pPr>
      <w:r>
        <w:rPr>
          <w:rFonts w:ascii="微軟正黑體" w:eastAsia="微軟正黑體" w:hAnsi="微軟正黑體" w:cs="微軟正黑體"/>
        </w:rPr>
        <w:t>本案提供室內廁所位於17館1F大廳自動門旁，如廁前後請保持環境整潔、乾淨。若是施工人員造成廁所髒亂，本單位握有權責禁止施工人員使用廁所，屆時由承攬商自行租借流動廁所予施工人員使用，並且不得要求任何追加款項。</w:t>
      </w:r>
    </w:p>
    <w:p w14:paraId="7B1AE910" w14:textId="77777777" w:rsidR="006D5DBA" w:rsidRDefault="006D5DBA">
      <w:pPr>
        <w:rPr>
          <w:rFonts w:ascii="微軟正黑體" w:eastAsia="微軟正黑體" w:hAnsi="微軟正黑體" w:cs="微軟正黑體"/>
        </w:rPr>
      </w:pPr>
    </w:p>
    <w:p w14:paraId="526C028C" w14:textId="77777777" w:rsidR="006D5DBA" w:rsidRDefault="00000000">
      <w:pPr>
        <w:numPr>
          <w:ilvl w:val="1"/>
          <w:numId w:val="4"/>
        </w:numPr>
        <w:jc w:val="both"/>
        <w:rPr>
          <w:rFonts w:ascii="微軟正黑體" w:eastAsia="微軟正黑體" w:hAnsi="微軟正黑體" w:cs="微軟正黑體"/>
        </w:rPr>
      </w:pPr>
      <w:r>
        <w:rPr>
          <w:rFonts w:ascii="微軟正黑體" w:eastAsia="微軟正黑體" w:hAnsi="微軟正黑體" w:cs="微軟正黑體"/>
          <w:b/>
        </w:rPr>
        <w:t>環境整潔維持：</w:t>
      </w:r>
    </w:p>
    <w:p w14:paraId="14AA98E4" w14:textId="77777777" w:rsidR="006D5DBA" w:rsidRDefault="00000000">
      <w:pPr>
        <w:ind w:left="1038"/>
        <w:jc w:val="both"/>
        <w:rPr>
          <w:rFonts w:ascii="微軟正黑體" w:eastAsia="微軟正黑體" w:hAnsi="微軟正黑體" w:cs="微軟正黑體"/>
        </w:rPr>
      </w:pPr>
      <w:r>
        <w:rPr>
          <w:rFonts w:ascii="微軟正黑體" w:eastAsia="微軟正黑體" w:hAnsi="微軟正黑體" w:cs="微軟正黑體"/>
        </w:rPr>
        <w:t>此案施工位置位於本</w:t>
      </w:r>
      <w:proofErr w:type="gramStart"/>
      <w:r>
        <w:rPr>
          <w:rFonts w:ascii="微軟正黑體" w:eastAsia="微軟正黑體" w:hAnsi="微軟正黑體" w:cs="微軟正黑體"/>
        </w:rPr>
        <w:t>院成廠</w:t>
      </w:r>
      <w:proofErr w:type="gramEnd"/>
      <w:r>
        <w:rPr>
          <w:rFonts w:ascii="微軟正黑體" w:eastAsia="微軟正黑體" w:hAnsi="微軟正黑體" w:cs="微軟正黑體"/>
        </w:rPr>
        <w:t>區內，承攬商必須派員每日清潔工地現場，維持環境整潔。舉凡生活廢棄物如便當盒、廚餘、餐巾紙、免洗餐具、飲料瓶、塑膠吸管等，或是廢棄工作</w:t>
      </w:r>
      <w:proofErr w:type="gramStart"/>
      <w:r>
        <w:rPr>
          <w:rFonts w:ascii="微軟正黑體" w:eastAsia="微軟正黑體" w:hAnsi="微軟正黑體" w:cs="微軟正黑體"/>
        </w:rPr>
        <w:t>用品如棉質</w:t>
      </w:r>
      <w:proofErr w:type="gramEnd"/>
      <w:r>
        <w:rPr>
          <w:rFonts w:ascii="微軟正黑體" w:eastAsia="微軟正黑體" w:hAnsi="微軟正黑體" w:cs="微軟正黑體"/>
        </w:rPr>
        <w:t>手套、抹布、塑膠袋等，或是</w:t>
      </w:r>
      <w:proofErr w:type="gramStart"/>
      <w:r>
        <w:rPr>
          <w:rFonts w:ascii="微軟正黑體" w:eastAsia="微軟正黑體" w:hAnsi="微軟正黑體" w:cs="微軟正黑體"/>
        </w:rPr>
        <w:t>廢棄另料如</w:t>
      </w:r>
      <w:proofErr w:type="gramEnd"/>
      <w:r>
        <w:rPr>
          <w:rFonts w:ascii="微軟正黑體" w:eastAsia="微軟正黑體" w:hAnsi="微軟正黑體" w:cs="微軟正黑體"/>
          <w:szCs w:val="24"/>
        </w:rPr>
        <w:t>絕緣膠帶、</w:t>
      </w:r>
      <w:proofErr w:type="gramStart"/>
      <w:r>
        <w:rPr>
          <w:rFonts w:ascii="微軟正黑體" w:eastAsia="微軟正黑體" w:hAnsi="微軟正黑體" w:cs="微軟正黑體"/>
          <w:szCs w:val="24"/>
        </w:rPr>
        <w:t>膠帶殘膠</w:t>
      </w:r>
      <w:proofErr w:type="gramEnd"/>
      <w:r>
        <w:rPr>
          <w:rFonts w:ascii="微軟正黑體" w:eastAsia="微軟正黑體" w:hAnsi="微軟正黑體" w:cs="微軟正黑體"/>
          <w:szCs w:val="24"/>
        </w:rPr>
        <w:t>、電纜絕緣皮、</w:t>
      </w:r>
      <w:proofErr w:type="gramStart"/>
      <w:r>
        <w:rPr>
          <w:rFonts w:ascii="微軟正黑體" w:eastAsia="微軟正黑體" w:hAnsi="微軟正黑體" w:cs="微軟正黑體"/>
          <w:szCs w:val="24"/>
        </w:rPr>
        <w:t>電線雜線等</w:t>
      </w:r>
      <w:proofErr w:type="gramEnd"/>
      <w:r>
        <w:rPr>
          <w:rFonts w:ascii="微軟正黑體" w:eastAsia="微軟正黑體" w:hAnsi="微軟正黑體" w:cs="微軟正黑體"/>
        </w:rPr>
        <w:t>，或是施工落塵、砂礫、碎石，皆必須每日清潔、整理。上述未提及的垃圾定義不受此規範所限，以一般通俗認定為垃圾者皆需每日清潔。</w:t>
      </w:r>
    </w:p>
    <w:p w14:paraId="6FB8291C" w14:textId="77777777" w:rsidR="006D5DBA" w:rsidRDefault="006D5DBA">
      <w:pPr>
        <w:jc w:val="both"/>
        <w:rPr>
          <w:rFonts w:ascii="微軟正黑體" w:eastAsia="微軟正黑體" w:hAnsi="微軟正黑體" w:cs="微軟正黑體"/>
        </w:rPr>
      </w:pPr>
    </w:p>
    <w:p w14:paraId="070DFF8D"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4" w:name="__RefHeading___Toc497731294"/>
      <w:bookmarkEnd w:id="4"/>
      <w:r>
        <w:rPr>
          <w:rFonts w:ascii="微軟正黑體" w:eastAsia="微軟正黑體" w:hAnsi="微軟正黑體" w:cs="微軟正黑體"/>
          <w:bCs/>
          <w:sz w:val="28"/>
        </w:rPr>
        <w:t>肆、施工安全衛生注意</w:t>
      </w:r>
    </w:p>
    <w:p w14:paraId="3F1178BF" w14:textId="77777777" w:rsidR="006D5DBA" w:rsidRDefault="00000000">
      <w:pPr>
        <w:widowControl/>
        <w:numPr>
          <w:ilvl w:val="1"/>
          <w:numId w:val="7"/>
        </w:numPr>
        <w:autoSpaceDE w:val="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szCs w:val="24"/>
        </w:rPr>
        <w:t>承攬商於施工前三天須配合業主召開承攬商施工安全會議，並</w:t>
      </w:r>
      <w:r>
        <w:rPr>
          <w:rFonts w:ascii="微軟正黑體" w:eastAsia="微軟正黑體" w:hAnsi="微軟正黑體" w:cs="微軟正黑體"/>
          <w:kern w:val="2"/>
        </w:rPr>
        <w:t>填寫本所工安會議記錄、動火許可申請、中斷申請或相關表格文件。</w:t>
      </w:r>
    </w:p>
    <w:p w14:paraId="1C521DE4"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kern w:val="2"/>
        </w:rPr>
        <w:t>所有參與此作業之工作人員必須參加本所工安講習訓練，並取得工作許可證；</w:t>
      </w:r>
      <w:proofErr w:type="gramStart"/>
      <w:r>
        <w:rPr>
          <w:rFonts w:ascii="微軟正黑體" w:eastAsia="微軟正黑體" w:hAnsi="微軟正黑體" w:cs="微軟正黑體"/>
          <w:kern w:val="2"/>
        </w:rPr>
        <w:t>若完訓</w:t>
      </w:r>
      <w:proofErr w:type="gramEnd"/>
      <w:r>
        <w:rPr>
          <w:rFonts w:ascii="微軟正黑體" w:eastAsia="微軟正黑體" w:hAnsi="微軟正黑體" w:cs="微軟正黑體"/>
          <w:kern w:val="2"/>
        </w:rPr>
        <w:t>資格於本所規定有效期限內，須另外提出證明，可不用重複參加工安講習訓練。</w:t>
      </w:r>
    </w:p>
    <w:p w14:paraId="155179E4"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rPr>
        <w:t>作業期間施工人員人身與設施保險由承攬商自行負責。</w:t>
      </w:r>
    </w:p>
    <w:p w14:paraId="71BDCCEF"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kern w:val="2"/>
        </w:rPr>
        <w:t>施工時，施工人員須配戴安全帽及相關安全防護器具，並穿著印有承攬商公司名稱之背心或衣物及臨時工作證以資識別。</w:t>
      </w:r>
    </w:p>
    <w:p w14:paraId="196BD401"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rPr>
        <w:t>承攬商在合約</w:t>
      </w:r>
      <w:proofErr w:type="gramStart"/>
      <w:r>
        <w:rPr>
          <w:rFonts w:ascii="微軟正黑體" w:eastAsia="微軟正黑體" w:hAnsi="微軟正黑體" w:cs="微軟正黑體"/>
          <w:spacing w:val="2"/>
        </w:rPr>
        <w:t>期間，</w:t>
      </w:r>
      <w:proofErr w:type="gramEnd"/>
      <w:r>
        <w:rPr>
          <w:rFonts w:ascii="微軟正黑體" w:eastAsia="微軟正黑體" w:hAnsi="微軟正黑體" w:cs="微軟正黑體"/>
          <w:spacing w:val="2"/>
        </w:rPr>
        <w:t>必須遵守政府現行勞工安全衛生法規及本院、所工業安全相關規定，並於工作現場指派監工/工安人員，負責督導相關作業安全。</w:t>
      </w:r>
    </w:p>
    <w:p w14:paraId="58B0E27C"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rPr>
        <w:t>工作場所禁止吸煙、嚼食檳榔、飲用含酒精成份飲料或其他可能造成工安危害事件之行為。</w:t>
      </w:r>
    </w:p>
    <w:p w14:paraId="14ED8AC3" w14:textId="77777777" w:rsidR="006D5DBA" w:rsidRDefault="006D5DBA">
      <w:pPr>
        <w:jc w:val="both"/>
        <w:rPr>
          <w:rFonts w:ascii="微軟正黑體" w:eastAsia="微軟正黑體" w:hAnsi="微軟正黑體" w:cs="微軟正黑體"/>
          <w:spacing w:val="2"/>
          <w:szCs w:val="24"/>
        </w:rPr>
      </w:pPr>
    </w:p>
    <w:p w14:paraId="77F11AE7"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5" w:name="__RefHeading___Toc497731295"/>
      <w:bookmarkEnd w:id="5"/>
      <w:r>
        <w:rPr>
          <w:rFonts w:ascii="微軟正黑體" w:eastAsia="微軟正黑體" w:hAnsi="微軟正黑體" w:cs="微軟正黑體"/>
          <w:bCs/>
          <w:sz w:val="28"/>
        </w:rPr>
        <w:t>伍、文件規格</w:t>
      </w:r>
    </w:p>
    <w:p w14:paraId="77A1F55E" w14:textId="77777777" w:rsidR="006D5DBA" w:rsidRDefault="00000000">
      <w:pPr>
        <w:widowControl/>
        <w:numPr>
          <w:ilvl w:val="1"/>
          <w:numId w:val="2"/>
        </w:numPr>
        <w:autoSpaceDE w:val="0"/>
        <w:spacing w:line="240" w:lineRule="atLeast"/>
        <w:jc w:val="both"/>
        <w:textAlignment w:val="bottom"/>
        <w:rPr>
          <w:rFonts w:ascii="微軟正黑體" w:eastAsia="微軟正黑體" w:hAnsi="微軟正黑體" w:cs="微軟正黑體"/>
          <w:b/>
        </w:rPr>
      </w:pPr>
      <w:r>
        <w:rPr>
          <w:rFonts w:ascii="微軟正黑體" w:eastAsia="微軟正黑體" w:hAnsi="微軟正黑體" w:cs="微軟正黑體"/>
          <w:b/>
        </w:rPr>
        <w:t>承攬商完工後需交付以下資料；紙本資料一式兩份，CAD及PDF</w:t>
      </w:r>
      <w:proofErr w:type="gramStart"/>
      <w:r>
        <w:rPr>
          <w:rFonts w:ascii="微軟正黑體" w:eastAsia="微軟正黑體" w:hAnsi="微軟正黑體" w:cs="微軟正黑體"/>
          <w:b/>
        </w:rPr>
        <w:t>圖檔另提供</w:t>
      </w:r>
      <w:proofErr w:type="gramEnd"/>
      <w:r>
        <w:rPr>
          <w:rFonts w:ascii="微軟正黑體" w:eastAsia="微軟正黑體" w:hAnsi="微軟正黑體" w:cs="微軟正黑體"/>
          <w:b/>
        </w:rPr>
        <w:t>電子檔：</w:t>
      </w:r>
    </w:p>
    <w:p w14:paraId="1B4F1541"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工程</w:t>
      </w:r>
      <w:proofErr w:type="gramStart"/>
      <w:r>
        <w:rPr>
          <w:rFonts w:ascii="微軟正黑體" w:eastAsia="微軟正黑體" w:hAnsi="微軟正黑體" w:cs="微軟正黑體"/>
        </w:rPr>
        <w:t>保固書暨</w:t>
      </w:r>
      <w:proofErr w:type="gramEnd"/>
      <w:r>
        <w:rPr>
          <w:rFonts w:ascii="微軟正黑體" w:eastAsia="微軟正黑體" w:hAnsi="微軟正黑體" w:cs="微軟正黑體"/>
        </w:rPr>
        <w:t>完工報告。</w:t>
      </w:r>
    </w:p>
    <w:p w14:paraId="43EF2D10"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lastRenderedPageBreak/>
        <w:t>材料合格證明。</w:t>
      </w:r>
    </w:p>
    <w:p w14:paraId="49A09F78"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施工前經業主確認之施工配置圖：CAD（DWG）及PDF電子檔各一份。</w:t>
      </w:r>
    </w:p>
    <w:p w14:paraId="3212A493"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完工竣工圖（As-built Drawing）：依實際完工現況修正，提供CAD（DWG）及PDF電子檔各一份。</w:t>
      </w:r>
    </w:p>
    <w:p w14:paraId="1040570C"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AH3空調箱保溫施工前後照片及完工自主檢查紀錄。</w:t>
      </w:r>
    </w:p>
    <w:p w14:paraId="0F583151"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回收物合格清運證明</w:t>
      </w:r>
    </w:p>
    <w:p w14:paraId="4568AE9E"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6" w:name="__RefHeading___Toc497731296"/>
      <w:bookmarkEnd w:id="6"/>
      <w:r>
        <w:rPr>
          <w:rFonts w:ascii="微軟正黑體" w:eastAsia="微軟正黑體" w:hAnsi="微軟正黑體" w:cs="微軟正黑體"/>
          <w:bCs/>
          <w:color w:val="000000"/>
          <w:sz w:val="28"/>
        </w:rPr>
        <w:t>陸、驗收規定</w:t>
      </w:r>
    </w:p>
    <w:p w14:paraId="5BFFB418"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完成施工規範書及以及決標</w:t>
      </w:r>
      <w:proofErr w:type="gramStart"/>
      <w:r>
        <w:rPr>
          <w:rFonts w:ascii="微軟正黑體" w:eastAsia="微軟正黑體" w:hAnsi="微軟正黑體" w:cs="微軟正黑體"/>
        </w:rPr>
        <w:t>標</w:t>
      </w:r>
      <w:proofErr w:type="gramEnd"/>
      <w:r>
        <w:rPr>
          <w:rFonts w:ascii="微軟正黑體" w:eastAsia="微軟正黑體" w:hAnsi="微軟正黑體" w:cs="微軟正黑體"/>
        </w:rPr>
        <w:t>單所列項目內容。</w:t>
      </w:r>
    </w:p>
    <w:p w14:paraId="7BACEE9B" w14:textId="5685810C" w:rsidR="006D5DBA" w:rsidRDefault="00000000">
      <w:pPr>
        <w:numPr>
          <w:ilvl w:val="2"/>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color w:val="000000"/>
        </w:rPr>
        <w:t>本次冰水</w:t>
      </w:r>
      <w:r w:rsidR="004909BC">
        <w:rPr>
          <w:rFonts w:ascii="微軟正黑體" w:eastAsia="微軟正黑體" w:hAnsi="微軟正黑體" w:cs="微軟正黑體" w:hint="eastAsia"/>
          <w:color w:val="000000"/>
        </w:rPr>
        <w:t>回水</w:t>
      </w:r>
      <w:r>
        <w:rPr>
          <w:rFonts w:ascii="微軟正黑體" w:eastAsia="微軟正黑體" w:hAnsi="微軟正黑體" w:cs="微軟正黑體"/>
          <w:color w:val="000000"/>
        </w:rPr>
        <w:t>管路及AH3空調箱保溫範圍施工完整，</w:t>
      </w:r>
      <w:proofErr w:type="gramStart"/>
      <w:r>
        <w:rPr>
          <w:rFonts w:ascii="微軟正黑體" w:eastAsia="微軟正黑體" w:hAnsi="微軟正黑體" w:cs="微軟正黑體"/>
          <w:color w:val="000000"/>
        </w:rPr>
        <w:t>保溫材</w:t>
      </w:r>
      <w:proofErr w:type="gramEnd"/>
      <w:r>
        <w:rPr>
          <w:rFonts w:ascii="微軟正黑體" w:eastAsia="微軟正黑體" w:hAnsi="微軟正黑體" w:cs="微軟正黑體"/>
          <w:color w:val="000000"/>
        </w:rPr>
        <w:t>厚度、接縫、外部被覆及收邊符合本規範要求，無脫落、破損或因施工不良造成之</w:t>
      </w:r>
      <w:proofErr w:type="gramStart"/>
      <w:r>
        <w:rPr>
          <w:rFonts w:ascii="微軟正黑體" w:eastAsia="微軟正黑體" w:hAnsi="微軟正黑體" w:cs="微軟正黑體"/>
          <w:color w:val="000000"/>
        </w:rPr>
        <w:t>明顯結露滴水</w:t>
      </w:r>
      <w:proofErr w:type="gramEnd"/>
      <w:r>
        <w:rPr>
          <w:rFonts w:ascii="微軟正黑體" w:eastAsia="微軟正黑體" w:hAnsi="微軟正黑體" w:cs="微軟正黑體"/>
          <w:color w:val="000000"/>
        </w:rPr>
        <w:t>。</w:t>
      </w:r>
    </w:p>
    <w:p w14:paraId="344AB41C"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交付第伍章「文件規格」所列文件。</w:t>
      </w:r>
    </w:p>
    <w:p w14:paraId="30EC5D21" w14:textId="77777777" w:rsidR="006D5DBA" w:rsidRDefault="00000000">
      <w:pPr>
        <w:numPr>
          <w:ilvl w:val="1"/>
          <w:numId w:val="10"/>
        </w:numPr>
        <w:spacing w:line="240" w:lineRule="atLeast"/>
        <w:jc w:val="both"/>
        <w:rPr>
          <w:rFonts w:ascii="微軟正黑體" w:eastAsia="微軟正黑體" w:hAnsi="微軟正黑體" w:cs="微軟正黑體"/>
        </w:rPr>
      </w:pPr>
      <w:proofErr w:type="gramStart"/>
      <w:r>
        <w:rPr>
          <w:rFonts w:ascii="微軟正黑體" w:eastAsia="微軟正黑體" w:hAnsi="微軟正黑體" w:cs="微軟正黑體"/>
        </w:rPr>
        <w:t>竣工圖應與</w:t>
      </w:r>
      <w:proofErr w:type="gramEnd"/>
      <w:r>
        <w:rPr>
          <w:rFonts w:ascii="微軟正黑體" w:eastAsia="微軟正黑體" w:hAnsi="微軟正黑體" w:cs="微軟正黑體"/>
        </w:rPr>
        <w:t>現場實際施工內容一致，並完成業主確認；未完成竣工圖修正及電子</w:t>
      </w:r>
      <w:proofErr w:type="gramStart"/>
      <w:r>
        <w:rPr>
          <w:rFonts w:ascii="微軟正黑體" w:eastAsia="微軟正黑體" w:hAnsi="微軟正黑體" w:cs="微軟正黑體"/>
        </w:rPr>
        <w:t>檔</w:t>
      </w:r>
      <w:proofErr w:type="gramEnd"/>
      <w:r>
        <w:rPr>
          <w:rFonts w:ascii="微軟正黑體" w:eastAsia="微軟正黑體" w:hAnsi="微軟正黑體" w:cs="微軟正黑體"/>
        </w:rPr>
        <w:t>交付前，不得視為本案完成驗收。</w:t>
      </w:r>
    </w:p>
    <w:p w14:paraId="76BD9559"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作業回收物確實清運完畢。</w:t>
      </w:r>
    </w:p>
    <w:p w14:paraId="621779C8"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管路流體名稱及流向標示符合本規範要求。</w:t>
      </w:r>
    </w:p>
    <w:p w14:paraId="39A7D0A3"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復原</w:t>
      </w:r>
      <w:proofErr w:type="gramStart"/>
      <w:r>
        <w:rPr>
          <w:rFonts w:ascii="微軟正黑體" w:eastAsia="微軟正黑體" w:hAnsi="微軟正黑體" w:cs="微軟正黑體"/>
        </w:rPr>
        <w:t>週</w:t>
      </w:r>
      <w:proofErr w:type="gramEnd"/>
      <w:r>
        <w:rPr>
          <w:rFonts w:ascii="微軟正黑體" w:eastAsia="微軟正黑體" w:hAnsi="微軟正黑體" w:cs="微軟正黑體"/>
        </w:rPr>
        <w:t>圍環境。</w:t>
      </w:r>
    </w:p>
    <w:p w14:paraId="75FBD507" w14:textId="77777777" w:rsidR="006D5DBA" w:rsidRDefault="00000000">
      <w:pPr>
        <w:spacing w:line="240" w:lineRule="atLeast"/>
        <w:ind w:left="480"/>
        <w:jc w:val="both"/>
      </w:pPr>
      <w:r>
        <w:rPr>
          <w:rFonts w:ascii="微軟正黑體" w:eastAsia="微軟正黑體" w:hAnsi="微軟正黑體" w:cs="微軟正黑體"/>
        </w:rPr>
        <w:t>承攬商完成上述事項並且備妥上述資料</w:t>
      </w:r>
      <w:proofErr w:type="gramStart"/>
      <w:r>
        <w:rPr>
          <w:rFonts w:ascii="微軟正黑體" w:eastAsia="微軟正黑體" w:hAnsi="微軟正黑體" w:cs="微軟正黑體"/>
        </w:rPr>
        <w:t>統整於正式</w:t>
      </w:r>
      <w:proofErr w:type="gramEnd"/>
      <w:r>
        <w:rPr>
          <w:rFonts w:ascii="微軟正黑體" w:eastAsia="微軟正黑體" w:hAnsi="微軟正黑體" w:cs="微軟正黑體"/>
        </w:rPr>
        <w:t>驗收報告內方可辦理驗收。</w:t>
      </w:r>
    </w:p>
    <w:p w14:paraId="59286940"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7" w:name="__RefHeading___Toc497731297"/>
      <w:bookmarkEnd w:id="7"/>
      <w:proofErr w:type="gramStart"/>
      <w:r>
        <w:rPr>
          <w:rFonts w:ascii="微軟正黑體" w:eastAsia="微軟正黑體" w:hAnsi="微軟正黑體" w:cs="微軟正黑體"/>
          <w:bCs/>
          <w:sz w:val="28"/>
        </w:rPr>
        <w:t>柒</w:t>
      </w:r>
      <w:proofErr w:type="gramEnd"/>
      <w:r>
        <w:rPr>
          <w:rFonts w:ascii="微軟正黑體" w:eastAsia="微軟正黑體" w:hAnsi="微軟正黑體" w:cs="微軟正黑體"/>
          <w:bCs/>
          <w:sz w:val="28"/>
        </w:rPr>
        <w:t>、保固期</w:t>
      </w:r>
    </w:p>
    <w:p w14:paraId="7E5A91E4" w14:textId="77777777" w:rsidR="006D5DBA" w:rsidRDefault="00000000">
      <w:pPr>
        <w:widowControl/>
        <w:numPr>
          <w:ilvl w:val="1"/>
          <w:numId w:val="3"/>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自驗收完成第2日起，非人為或天然因素影響，若有異常或損壞，承攬商</w:t>
      </w:r>
      <w:proofErr w:type="gramStart"/>
      <w:r>
        <w:rPr>
          <w:rFonts w:ascii="微軟正黑體" w:eastAsia="微軟正黑體" w:hAnsi="微軟正黑體" w:cs="微軟正黑體"/>
          <w:szCs w:val="24"/>
        </w:rPr>
        <w:t>一</w:t>
      </w:r>
      <w:proofErr w:type="gramEnd"/>
      <w:r>
        <w:rPr>
          <w:rFonts w:ascii="微軟正黑體" w:eastAsia="微軟正黑體" w:hAnsi="微軟正黑體" w:cs="微軟正黑體"/>
          <w:szCs w:val="24"/>
        </w:rPr>
        <w:t>年內須免費維修及保固。</w:t>
      </w:r>
    </w:p>
    <w:p w14:paraId="739BC944" w14:textId="77777777" w:rsidR="006D5DBA" w:rsidRDefault="00000000">
      <w:pPr>
        <w:widowControl/>
        <w:numPr>
          <w:ilvl w:val="1"/>
          <w:numId w:val="3"/>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承攬商於保固期內，若接獲業主相關人員通知，平時須於8小時內，假日須於12小時內趕赴現場，或以其他迅速、方便及有效之方式處理問題。</w:t>
      </w:r>
    </w:p>
    <w:p w14:paraId="3A853635"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8" w:name="__RefHeading___Toc497731298"/>
      <w:bookmarkEnd w:id="8"/>
      <w:r>
        <w:rPr>
          <w:rFonts w:ascii="微軟正黑體" w:eastAsia="微軟正黑體" w:hAnsi="微軟正黑體" w:cs="微軟正黑體"/>
          <w:bCs/>
          <w:sz w:val="28"/>
        </w:rPr>
        <w:t>捌、完工期限</w:t>
      </w:r>
    </w:p>
    <w:p w14:paraId="237D5683" w14:textId="77777777" w:rsidR="006D5DBA" w:rsidRDefault="00000000">
      <w:pPr>
        <w:widowControl/>
        <w:autoSpaceDE w:val="0"/>
        <w:spacing w:line="240" w:lineRule="atLeast"/>
        <w:ind w:left="480"/>
        <w:jc w:val="both"/>
        <w:textAlignment w:val="bottom"/>
        <w:rPr>
          <w:rFonts w:ascii="微軟正黑體" w:eastAsia="微軟正黑體" w:hAnsi="微軟正黑體" w:cs="微軟正黑體"/>
          <w:color w:val="000000"/>
        </w:rPr>
      </w:pPr>
      <w:r>
        <w:rPr>
          <w:rFonts w:ascii="微軟正黑體" w:eastAsia="微軟正黑體" w:hAnsi="微軟正黑體" w:cs="微軟正黑體"/>
          <w:color w:val="000000"/>
        </w:rPr>
        <w:t>民國115年12月10日</w:t>
      </w:r>
    </w:p>
    <w:p w14:paraId="1A6CAF77" w14:textId="77777777" w:rsidR="006D5DBA" w:rsidRDefault="006D5DBA">
      <w:pPr>
        <w:jc w:val="both"/>
        <w:rPr>
          <w:rFonts w:ascii="微軟正黑體" w:eastAsia="微軟正黑體" w:hAnsi="微軟正黑體" w:cs="微軟正黑體"/>
          <w:color w:val="000000"/>
        </w:rPr>
      </w:pPr>
    </w:p>
    <w:p w14:paraId="569433D5"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9" w:name="__RefHeading___Toc497731299"/>
      <w:bookmarkEnd w:id="9"/>
      <w:r>
        <w:rPr>
          <w:rFonts w:ascii="微軟正黑體" w:eastAsia="微軟正黑體" w:hAnsi="微軟正黑體" w:cs="微軟正黑體"/>
          <w:bCs/>
          <w:sz w:val="28"/>
        </w:rPr>
        <w:t>玖、附件</w:t>
      </w:r>
    </w:p>
    <w:p w14:paraId="0E9556C9" w14:textId="77777777" w:rsidR="006D5DBA" w:rsidRDefault="00000000">
      <w:pPr>
        <w:widowControl/>
        <w:numPr>
          <w:ilvl w:val="1"/>
          <w:numId w:val="14"/>
        </w:numPr>
        <w:autoSpaceDE w:val="0"/>
        <w:spacing w:line="240" w:lineRule="atLeast"/>
        <w:ind w:right="-238"/>
        <w:jc w:val="both"/>
        <w:textAlignment w:val="bottom"/>
        <w:rPr>
          <w:rFonts w:ascii="微軟正黑體" w:eastAsia="微軟正黑體" w:hAnsi="微軟正黑體" w:cs="微軟正黑體"/>
        </w:rPr>
      </w:pPr>
      <w:r>
        <w:rPr>
          <w:rFonts w:ascii="微軟正黑體" w:eastAsia="微軟正黑體" w:hAnsi="微軟正黑體" w:cs="微軟正黑體"/>
        </w:rPr>
        <w:t>危險作業安全須知</w:t>
      </w:r>
    </w:p>
    <w:p w14:paraId="122F1FC9" w14:textId="77777777" w:rsidR="006D5DBA" w:rsidRDefault="00000000">
      <w:pPr>
        <w:pStyle w:val="ad"/>
        <w:keepNext/>
        <w:ind w:left="240"/>
        <w:jc w:val="center"/>
        <w:rPr>
          <w:rFonts w:ascii="微軟正黑體" w:eastAsia="微軟正黑體" w:hAnsi="微軟正黑體" w:cs="微軟正黑體"/>
        </w:rPr>
      </w:pPr>
      <w:r>
        <w:rPr>
          <w:rFonts w:ascii="微軟正黑體" w:eastAsia="微軟正黑體" w:hAnsi="微軟正黑體" w:cs="微軟正黑體"/>
        </w:rPr>
        <w:t xml:space="preserve">表 1. </w:t>
      </w:r>
      <w:r>
        <w:rPr>
          <w:rFonts w:ascii="微軟正黑體" w:eastAsia="微軟正黑體" w:hAnsi="微軟正黑體" w:cs="微軟正黑體"/>
          <w:bCs/>
          <w:spacing w:val="2"/>
          <w:szCs w:val="24"/>
        </w:rPr>
        <w:t>危險作業安全須知</w:t>
      </w:r>
    </w:p>
    <w:tbl>
      <w:tblPr>
        <w:tblW w:w="8940" w:type="dxa"/>
        <w:tblInd w:w="290" w:type="dxa"/>
        <w:tblLayout w:type="fixed"/>
        <w:tblCellMar>
          <w:left w:w="28" w:type="dxa"/>
          <w:right w:w="28" w:type="dxa"/>
        </w:tblCellMar>
        <w:tblLook w:val="04A0" w:firstRow="1" w:lastRow="0" w:firstColumn="1" w:lastColumn="0" w:noHBand="0" w:noVBand="1"/>
      </w:tblPr>
      <w:tblGrid>
        <w:gridCol w:w="2127"/>
        <w:gridCol w:w="6813"/>
      </w:tblGrid>
      <w:tr w:rsidR="006D5DBA" w14:paraId="2378AF72" w14:textId="77777777">
        <w:tc>
          <w:tcPr>
            <w:tcW w:w="2127" w:type="dxa"/>
            <w:tcBorders>
              <w:top w:val="single" w:sz="4" w:space="0" w:color="000000"/>
              <w:left w:val="single" w:sz="4" w:space="0" w:color="000000"/>
              <w:bottom w:val="single" w:sz="4" w:space="0" w:color="000000"/>
              <w:right w:val="single" w:sz="4" w:space="0" w:color="000000"/>
            </w:tcBorders>
            <w:vAlign w:val="bottom"/>
          </w:tcPr>
          <w:p w14:paraId="34E30F6D" w14:textId="77777777" w:rsidR="006D5DBA" w:rsidRDefault="00000000">
            <w:pPr>
              <w:snapToGrid w:val="0"/>
              <w:spacing w:line="360" w:lineRule="auto"/>
              <w:jc w:val="center"/>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作業項目</w:t>
            </w:r>
          </w:p>
        </w:tc>
        <w:tc>
          <w:tcPr>
            <w:tcW w:w="6813" w:type="dxa"/>
            <w:tcBorders>
              <w:top w:val="single" w:sz="4" w:space="0" w:color="000000"/>
              <w:left w:val="single" w:sz="4" w:space="0" w:color="000000"/>
              <w:bottom w:val="single" w:sz="4" w:space="0" w:color="000000"/>
              <w:right w:val="single" w:sz="4" w:space="0" w:color="000000"/>
            </w:tcBorders>
            <w:vAlign w:val="bottom"/>
          </w:tcPr>
          <w:p w14:paraId="05D3A54A" w14:textId="77777777" w:rsidR="006D5DBA" w:rsidRDefault="00000000">
            <w:pPr>
              <w:snapToGrid w:val="0"/>
              <w:spacing w:line="360" w:lineRule="auto"/>
              <w:jc w:val="center"/>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安   全   考   量</w:t>
            </w:r>
          </w:p>
        </w:tc>
      </w:tr>
      <w:tr w:rsidR="006D5DBA" w14:paraId="0A56F429" w14:textId="77777777">
        <w:trPr>
          <w:trHeight w:val="780"/>
        </w:trPr>
        <w:tc>
          <w:tcPr>
            <w:tcW w:w="2127" w:type="dxa"/>
            <w:tcBorders>
              <w:top w:val="single" w:sz="4" w:space="0" w:color="000000"/>
              <w:left w:val="single" w:sz="4" w:space="0" w:color="000000"/>
              <w:bottom w:val="single" w:sz="4" w:space="0" w:color="000000"/>
              <w:right w:val="single" w:sz="4" w:space="0" w:color="000000"/>
            </w:tcBorders>
            <w:vAlign w:val="center"/>
          </w:tcPr>
          <w:p w14:paraId="67EF7EA8"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1.吊裝作業</w:t>
            </w:r>
          </w:p>
        </w:tc>
        <w:tc>
          <w:tcPr>
            <w:tcW w:w="6813" w:type="dxa"/>
            <w:tcBorders>
              <w:top w:val="single" w:sz="4" w:space="0" w:color="000000"/>
              <w:left w:val="single" w:sz="4" w:space="0" w:color="000000"/>
              <w:bottom w:val="single" w:sz="4" w:space="0" w:color="000000"/>
              <w:right w:val="single" w:sz="4" w:space="0" w:color="000000"/>
            </w:tcBorders>
            <w:vAlign w:val="center"/>
          </w:tcPr>
          <w:p w14:paraId="69DACF7E"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吊裝作業時應實施道路管制，並配置管制人員，需注意</w:t>
            </w:r>
            <w:proofErr w:type="gramStart"/>
            <w:r>
              <w:rPr>
                <w:rFonts w:ascii="微軟正黑體" w:eastAsia="微軟正黑體" w:hAnsi="微軟正黑體" w:cs="微軟正黑體"/>
                <w:color w:val="000000"/>
                <w:spacing w:val="2"/>
              </w:rPr>
              <w:t>週</w:t>
            </w:r>
            <w:proofErr w:type="gramEnd"/>
            <w:r>
              <w:rPr>
                <w:rFonts w:ascii="微軟正黑體" w:eastAsia="微軟正黑體" w:hAnsi="微軟正黑體" w:cs="微軟正黑體"/>
                <w:color w:val="000000"/>
                <w:spacing w:val="2"/>
              </w:rPr>
              <w:t>邊設</w:t>
            </w:r>
            <w:r>
              <w:rPr>
                <w:rFonts w:ascii="微軟正黑體" w:eastAsia="微軟正黑體" w:hAnsi="微軟正黑體" w:cs="微軟正黑體"/>
                <w:color w:val="000000"/>
                <w:spacing w:val="2"/>
              </w:rPr>
              <w:lastRenderedPageBreak/>
              <w:t>施及人員安全。</w:t>
            </w:r>
          </w:p>
        </w:tc>
      </w:tr>
      <w:tr w:rsidR="006D5DBA" w14:paraId="6FC0BBAB"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44E18523"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lastRenderedPageBreak/>
              <w:t>2.配管作業</w:t>
            </w:r>
          </w:p>
        </w:tc>
        <w:tc>
          <w:tcPr>
            <w:tcW w:w="6813" w:type="dxa"/>
            <w:tcBorders>
              <w:top w:val="single" w:sz="4" w:space="0" w:color="000000"/>
              <w:left w:val="single" w:sz="4" w:space="0" w:color="000000"/>
              <w:bottom w:val="single" w:sz="4" w:space="0" w:color="000000"/>
              <w:right w:val="single" w:sz="4" w:space="0" w:color="000000"/>
            </w:tcBorders>
            <w:vAlign w:val="center"/>
          </w:tcPr>
          <w:p w14:paraId="1ABD6B0E"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配管作業時，梯子需放置穩固，必要</w:t>
            </w:r>
            <w:proofErr w:type="gramStart"/>
            <w:r>
              <w:rPr>
                <w:rFonts w:ascii="微軟正黑體" w:eastAsia="微軟正黑體" w:hAnsi="微軟正黑體" w:cs="微軟正黑體"/>
                <w:color w:val="000000"/>
                <w:spacing w:val="2"/>
              </w:rPr>
              <w:t>時需搭設</w:t>
            </w:r>
            <w:proofErr w:type="gramEnd"/>
            <w:r>
              <w:rPr>
                <w:rFonts w:ascii="微軟正黑體" w:eastAsia="微軟正黑體" w:hAnsi="微軟正黑體" w:cs="微軟正黑體"/>
                <w:color w:val="000000"/>
                <w:spacing w:val="2"/>
              </w:rPr>
              <w:t>鷹架，若高度超過2公尺</w:t>
            </w:r>
            <w:proofErr w:type="gramStart"/>
            <w:r>
              <w:rPr>
                <w:rFonts w:ascii="微軟正黑體" w:eastAsia="微軟正黑體" w:hAnsi="微軟正黑體" w:cs="微軟正黑體"/>
                <w:color w:val="000000"/>
                <w:spacing w:val="2"/>
              </w:rPr>
              <w:t>則需屬高</w:t>
            </w:r>
            <w:proofErr w:type="gramEnd"/>
            <w:r>
              <w:rPr>
                <w:rFonts w:ascii="微軟正黑體" w:eastAsia="微軟正黑體" w:hAnsi="微軟正黑體" w:cs="微軟正黑體"/>
                <w:color w:val="000000"/>
                <w:spacing w:val="2"/>
              </w:rPr>
              <w:t>架作業(如第4項說明)。</w:t>
            </w:r>
          </w:p>
        </w:tc>
      </w:tr>
      <w:tr w:rsidR="006D5DBA" w14:paraId="1B02997D"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4FEC892E"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3.油漆作業</w:t>
            </w:r>
          </w:p>
        </w:tc>
        <w:tc>
          <w:tcPr>
            <w:tcW w:w="6813" w:type="dxa"/>
            <w:tcBorders>
              <w:top w:val="single" w:sz="4" w:space="0" w:color="000000"/>
              <w:left w:val="single" w:sz="4" w:space="0" w:color="000000"/>
              <w:bottom w:val="single" w:sz="4" w:space="0" w:color="000000"/>
              <w:right w:val="single" w:sz="4" w:space="0" w:color="000000"/>
            </w:tcBorders>
            <w:vAlign w:val="center"/>
          </w:tcPr>
          <w:p w14:paraId="40577F81" w14:textId="77777777" w:rsidR="006D5DBA" w:rsidRDefault="00000000">
            <w:pPr>
              <w:snapToGrid w:val="0"/>
              <w:spacing w:line="360" w:lineRule="auto"/>
              <w:ind w:left="286" w:hanging="286"/>
              <w:jc w:val="both"/>
              <w:textAlignment w:val="center"/>
            </w:pPr>
            <w:r>
              <w:rPr>
                <w:rFonts w:ascii="微軟正黑體" w:eastAsia="微軟正黑體" w:hAnsi="微軟正黑體" w:cs="微軟正黑體"/>
                <w:color w:val="000000"/>
                <w:spacing w:val="2"/>
              </w:rPr>
              <w:t>1.應配戴口罩，工作區域需注意空氣流通，若有不適應停止作業。</w:t>
            </w:r>
          </w:p>
          <w:p w14:paraId="77C350E0" w14:textId="77777777" w:rsidR="006D5DBA" w:rsidRDefault="00000000">
            <w:pPr>
              <w:snapToGrid w:val="0"/>
              <w:spacing w:line="360" w:lineRule="auto"/>
              <w:jc w:val="both"/>
              <w:textAlignment w:val="center"/>
            </w:pPr>
            <w:r>
              <w:rPr>
                <w:rFonts w:ascii="微軟正黑體" w:eastAsia="微軟正黑體" w:hAnsi="微軟正黑體" w:cs="微軟正黑體"/>
                <w:color w:val="000000"/>
                <w:spacing w:val="2"/>
              </w:rPr>
              <w:t>2.若非新建作業應於非上班時段作業，以免影響同仁健康。</w:t>
            </w:r>
          </w:p>
        </w:tc>
      </w:tr>
      <w:tr w:rsidR="006D5DBA" w14:paraId="2F7BE702"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4DC70A7B"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4.高架作業</w:t>
            </w:r>
          </w:p>
          <w:p w14:paraId="67E9E1C1"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(高度兩公尺以上)</w:t>
            </w:r>
          </w:p>
        </w:tc>
        <w:tc>
          <w:tcPr>
            <w:tcW w:w="6813" w:type="dxa"/>
            <w:tcBorders>
              <w:top w:val="single" w:sz="4" w:space="0" w:color="000000"/>
              <w:left w:val="single" w:sz="4" w:space="0" w:color="000000"/>
              <w:bottom w:val="single" w:sz="4" w:space="0" w:color="000000"/>
              <w:right w:val="single" w:sz="4" w:space="0" w:color="000000"/>
            </w:tcBorders>
            <w:vAlign w:val="center"/>
          </w:tcPr>
          <w:p w14:paraId="1286977C" w14:textId="77777777" w:rsidR="006D5DBA" w:rsidRDefault="00000000">
            <w:pPr>
              <w:snapToGrid w:val="0"/>
              <w:spacing w:line="360" w:lineRule="auto"/>
              <w:jc w:val="both"/>
              <w:textAlignment w:val="center"/>
            </w:pPr>
            <w:r>
              <w:rPr>
                <w:rFonts w:ascii="微軟正黑體" w:eastAsia="微軟正黑體" w:hAnsi="微軟正黑體" w:cs="微軟正黑體"/>
                <w:color w:val="000000"/>
                <w:spacing w:val="2"/>
              </w:rPr>
              <w:t>從事高架作業人員要</w:t>
            </w:r>
            <w:proofErr w:type="gramStart"/>
            <w:r>
              <w:rPr>
                <w:rFonts w:ascii="微軟正黑體" w:eastAsia="微軟正黑體" w:hAnsi="微軟正黑體" w:cs="微軟正黑體"/>
                <w:color w:val="000000"/>
                <w:spacing w:val="2"/>
              </w:rPr>
              <w:t>繫</w:t>
            </w:r>
            <w:proofErr w:type="gramEnd"/>
            <w:r>
              <w:rPr>
                <w:rFonts w:ascii="微軟正黑體" w:eastAsia="微軟正黑體" w:hAnsi="微軟正黑體" w:cs="微軟正黑體"/>
                <w:color w:val="000000"/>
                <w:spacing w:val="2"/>
              </w:rPr>
              <w:t>安全帶或</w:t>
            </w:r>
            <w:proofErr w:type="gramStart"/>
            <w:r>
              <w:rPr>
                <w:rFonts w:ascii="微軟正黑體" w:eastAsia="微軟正黑體" w:hAnsi="微軟正黑體" w:cs="微軟正黑體"/>
                <w:color w:val="000000"/>
                <w:spacing w:val="2"/>
              </w:rPr>
              <w:t>安全索</w:t>
            </w:r>
            <w:proofErr w:type="gramEnd"/>
            <w:r>
              <w:rPr>
                <w:rFonts w:ascii="微軟正黑體" w:eastAsia="微軟正黑體" w:hAnsi="微軟正黑體" w:cs="微軟正黑體"/>
                <w:color w:val="000000"/>
                <w:spacing w:val="2"/>
              </w:rPr>
              <w:t>。若使用可移動式之施工架，則須檢視:</w:t>
            </w:r>
          </w:p>
          <w:p w14:paraId="506E38E0" w14:textId="77777777" w:rsidR="006D5DBA" w:rsidRDefault="00000000">
            <w:pPr>
              <w:numPr>
                <w:ilvl w:val="0"/>
                <w:numId w:val="8"/>
              </w:num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基腳是否平正、</w:t>
            </w:r>
            <w:proofErr w:type="gramStart"/>
            <w:r>
              <w:rPr>
                <w:rFonts w:ascii="微軟正黑體" w:eastAsia="微軟正黑體" w:hAnsi="微軟正黑體" w:cs="微軟正黑體"/>
                <w:color w:val="000000"/>
                <w:spacing w:val="2"/>
              </w:rPr>
              <w:t>墊妥</w:t>
            </w:r>
            <w:proofErr w:type="gramEnd"/>
            <w:r>
              <w:rPr>
                <w:rFonts w:ascii="微軟正黑體" w:eastAsia="微軟正黑體" w:hAnsi="微軟正黑體" w:cs="微軟正黑體"/>
                <w:color w:val="000000"/>
                <w:spacing w:val="2"/>
              </w:rPr>
              <w:t>、防止滑動等。</w:t>
            </w:r>
          </w:p>
          <w:p w14:paraId="2F88D87F" w14:textId="77777777" w:rsidR="006D5DBA" w:rsidRDefault="00000000">
            <w:pPr>
              <w:numPr>
                <w:ilvl w:val="0"/>
                <w:numId w:val="8"/>
              </w:num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各支架接頭組件有無損壞，扶手踏板裝設是否妥當，階梯、平板無油、</w:t>
            </w:r>
            <w:proofErr w:type="gramStart"/>
            <w:r>
              <w:rPr>
                <w:rFonts w:ascii="微軟正黑體" w:eastAsia="微軟正黑體" w:hAnsi="微軟正黑體" w:cs="微軟正黑體"/>
                <w:color w:val="000000"/>
                <w:spacing w:val="2"/>
              </w:rPr>
              <w:t>灰等易</w:t>
            </w:r>
            <w:proofErr w:type="gramEnd"/>
            <w:r>
              <w:rPr>
                <w:rFonts w:ascii="微軟正黑體" w:eastAsia="微軟正黑體" w:hAnsi="微軟正黑體" w:cs="微軟正黑體"/>
                <w:color w:val="000000"/>
                <w:spacing w:val="2"/>
              </w:rPr>
              <w:t>滑物質。</w:t>
            </w:r>
          </w:p>
          <w:p w14:paraId="2FE641ED" w14:textId="77777777" w:rsidR="006D5DBA" w:rsidRDefault="00000000">
            <w:pPr>
              <w:numPr>
                <w:ilvl w:val="0"/>
                <w:numId w:val="8"/>
              </w:num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使用A</w:t>
            </w:r>
            <w:proofErr w:type="gramStart"/>
            <w:r>
              <w:rPr>
                <w:rFonts w:ascii="微軟正黑體" w:eastAsia="微軟正黑體" w:hAnsi="微軟正黑體" w:cs="微軟正黑體"/>
                <w:color w:val="000000"/>
                <w:spacing w:val="2"/>
              </w:rPr>
              <w:t>字梯時</w:t>
            </w:r>
            <w:proofErr w:type="gramEnd"/>
            <w:r>
              <w:rPr>
                <w:rFonts w:ascii="微軟正黑體" w:eastAsia="微軟正黑體" w:hAnsi="微軟正黑體" w:cs="微軟正黑體"/>
                <w:color w:val="000000"/>
                <w:spacing w:val="2"/>
              </w:rPr>
              <w:t>需有人在旁方可使用，且A</w:t>
            </w:r>
            <w:proofErr w:type="gramStart"/>
            <w:r>
              <w:rPr>
                <w:rFonts w:ascii="微軟正黑體" w:eastAsia="微軟正黑體" w:hAnsi="微軟正黑體" w:cs="微軟正黑體"/>
                <w:color w:val="000000"/>
                <w:spacing w:val="2"/>
              </w:rPr>
              <w:t>字梯款式</w:t>
            </w:r>
            <w:proofErr w:type="gramEnd"/>
            <w:r>
              <w:rPr>
                <w:rFonts w:ascii="微軟正黑體" w:eastAsia="微軟正黑體" w:hAnsi="微軟正黑體" w:cs="微軟正黑體"/>
                <w:color w:val="000000"/>
                <w:spacing w:val="2"/>
              </w:rPr>
              <w:t>須符合本院、所工安要求。</w:t>
            </w:r>
          </w:p>
        </w:tc>
      </w:tr>
      <w:tr w:rsidR="006D5DBA" w14:paraId="46294C5A"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3F59FD43"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5.重物搬運</w:t>
            </w:r>
          </w:p>
        </w:tc>
        <w:tc>
          <w:tcPr>
            <w:tcW w:w="6813" w:type="dxa"/>
            <w:tcBorders>
              <w:top w:val="single" w:sz="4" w:space="0" w:color="000000"/>
              <w:left w:val="single" w:sz="4" w:space="0" w:color="000000"/>
              <w:bottom w:val="single" w:sz="4" w:space="0" w:color="000000"/>
              <w:right w:val="single" w:sz="4" w:space="0" w:color="000000"/>
            </w:tcBorders>
            <w:vAlign w:val="center"/>
          </w:tcPr>
          <w:p w14:paraId="7A55BC64"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以機械起重機搬運配合交通管制現場空間管制</w:t>
            </w:r>
          </w:p>
        </w:tc>
      </w:tr>
      <w:tr w:rsidR="006D5DBA" w14:paraId="227EB462"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3962F4A2"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6.施工用電</w:t>
            </w:r>
          </w:p>
        </w:tc>
        <w:tc>
          <w:tcPr>
            <w:tcW w:w="6813" w:type="dxa"/>
            <w:tcBorders>
              <w:top w:val="single" w:sz="4" w:space="0" w:color="000000"/>
              <w:left w:val="single" w:sz="4" w:space="0" w:color="000000"/>
              <w:bottom w:val="single" w:sz="4" w:space="0" w:color="000000"/>
              <w:right w:val="single" w:sz="4" w:space="0" w:color="000000"/>
            </w:tcBorders>
            <w:vAlign w:val="center"/>
          </w:tcPr>
          <w:p w14:paraId="244FBFD2" w14:textId="77777777" w:rsidR="006D5DBA" w:rsidRDefault="00000000">
            <w:pPr>
              <w:snapToGrid w:val="0"/>
              <w:spacing w:line="360" w:lineRule="auto"/>
              <w:jc w:val="both"/>
              <w:textAlignment w:val="center"/>
            </w:pPr>
            <w:r>
              <w:rPr>
                <w:rFonts w:ascii="微軟正黑體" w:eastAsia="微軟正黑體" w:hAnsi="微軟正黑體" w:cs="微軟正黑體"/>
                <w:color w:val="000000"/>
                <w:spacing w:val="2"/>
              </w:rPr>
              <w:t>於施工期間另行配置施工用電系統，以免正常供電系統受干擾並</w:t>
            </w:r>
            <w:proofErr w:type="gramStart"/>
            <w:r>
              <w:rPr>
                <w:rFonts w:ascii="微軟正黑體" w:eastAsia="微軟正黑體" w:hAnsi="微軟正黑體" w:cs="微軟正黑體"/>
                <w:color w:val="000000"/>
                <w:spacing w:val="2"/>
              </w:rPr>
              <w:t>禁止活電作業</w:t>
            </w:r>
            <w:proofErr w:type="gramEnd"/>
            <w:r>
              <w:rPr>
                <w:rFonts w:ascii="微軟正黑體" w:eastAsia="微軟正黑體" w:hAnsi="微軟正黑體" w:cs="微軟正黑體"/>
                <w:color w:val="000000"/>
                <w:spacing w:val="2"/>
              </w:rPr>
              <w:t>。</w:t>
            </w:r>
          </w:p>
        </w:tc>
      </w:tr>
    </w:tbl>
    <w:p w14:paraId="71DAC5F3" w14:textId="77777777" w:rsidR="006D5DBA" w:rsidRDefault="006D5DBA">
      <w:pPr>
        <w:widowControl/>
        <w:autoSpaceDE w:val="0"/>
        <w:spacing w:line="360" w:lineRule="auto"/>
        <w:jc w:val="both"/>
        <w:textAlignment w:val="bottom"/>
        <w:rPr>
          <w:rFonts w:ascii="Times New Roman" w:eastAsia="標楷體" w:hAnsi="Times New Roman"/>
        </w:rPr>
      </w:pPr>
    </w:p>
    <w:sectPr w:rsidR="006D5DBA">
      <w:headerReference w:type="default" r:id="rId10"/>
      <w:footerReference w:type="default" r:id="rId11"/>
      <w:headerReference w:type="first" r:id="rId12"/>
      <w:footerReference w:type="first" r:id="rId13"/>
      <w:pgSz w:w="11906" w:h="16838"/>
      <w:pgMar w:top="623" w:right="850" w:bottom="720" w:left="1440" w:header="567" w:footer="567"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BE0C6" w14:textId="77777777" w:rsidR="006711C2" w:rsidRDefault="006711C2">
      <w:r>
        <w:separator/>
      </w:r>
    </w:p>
  </w:endnote>
  <w:endnote w:type="continuationSeparator" w:id="0">
    <w:p w14:paraId="4AB3B9F5" w14:textId="77777777" w:rsidR="006711C2" w:rsidRDefault="00671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ohit Devanagari">
    <w:altName w:val="Cambria"/>
    <w:panose1 w:val="00000000000000000000"/>
    <w:charset w:val="00"/>
    <w:family w:val="roman"/>
    <w:notTrueType/>
    <w:pitch w:val="default"/>
  </w:font>
  <w:font w:name="細明體;MingLiU">
    <w:altName w:val="新細明體"/>
    <w:panose1 w:val="00000000000000000000"/>
    <w:charset w:val="88"/>
    <w:family w:val="roman"/>
    <w:notTrueType/>
    <w:pitch w:val="default"/>
  </w:font>
  <w:font w:name="新細明體;PMingLiU">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華康中楷體;微軟正黑體">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7055" w14:textId="77777777" w:rsidR="006D5DBA" w:rsidRDefault="00000000">
    <w:pPr>
      <w:pStyle w:val="ae"/>
      <w:jc w:val="center"/>
    </w:pPr>
    <w:r>
      <w:fldChar w:fldCharType="begin"/>
    </w:r>
    <w:r>
      <w:instrText xml:space="preserve"> PAGE </w:instrText>
    </w:r>
    <w:r>
      <w:fldChar w:fldCharType="separate"/>
    </w:r>
    <w:r>
      <w:t>1</w:t>
    </w:r>
    <w:r>
      <w:fldChar w:fldCharType="end"/>
    </w:r>
  </w:p>
  <w:p w14:paraId="564029CB" w14:textId="77777777" w:rsidR="006D5DBA" w:rsidRDefault="006D5DBA">
    <w:pPr>
      <w:pStyle w:val="ae"/>
      <w:rPr>
        <w:rFonts w:ascii="Arial" w:eastAsia="華康中楷體;微軟正黑體" w:hAnsi="Arial" w:cs="Arial"/>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365B" w14:textId="77777777" w:rsidR="006D5DBA" w:rsidRDefault="00000000">
    <w:pPr>
      <w:pStyle w:val="ae"/>
      <w:rPr>
        <w:sz w:val="18"/>
      </w:rPr>
    </w:pPr>
    <w:r>
      <w:rPr>
        <w:noProof/>
      </w:rPr>
      <mc:AlternateContent>
        <mc:Choice Requires="wps">
          <w:drawing>
            <wp:anchor distT="0" distB="0" distL="0" distR="0" simplePos="0" relativeHeight="9" behindDoc="0" locked="0" layoutInCell="0" allowOverlap="1" wp14:anchorId="72E869F7" wp14:editId="59361E24">
              <wp:simplePos x="0" y="0"/>
              <wp:positionH relativeFrom="margin">
                <wp:align>center</wp:align>
              </wp:positionH>
              <wp:positionV relativeFrom="paragraph">
                <wp:posOffset>635</wp:posOffset>
              </wp:positionV>
              <wp:extent cx="73025" cy="173355"/>
              <wp:effectExtent l="0" t="0" r="0" b="0"/>
              <wp:wrapSquare wrapText="bothSides"/>
              <wp:docPr id="7" name="Frame1"/>
              <wp:cNvGraphicFramePr/>
              <a:graphic xmlns:a="http://schemas.openxmlformats.org/drawingml/2006/main">
                <a:graphicData uri="http://schemas.microsoft.com/office/word/2010/wordprocessingShape">
                  <wps:wsp>
                    <wps:cNvSpPr txBox="1"/>
                    <wps:spPr>
                      <a:xfrm>
                        <a:off x="0" y="0"/>
                        <a:ext cx="73025" cy="173355"/>
                      </a:xfrm>
                      <a:prstGeom prst="rect">
                        <a:avLst/>
                      </a:prstGeom>
                      <a:solidFill>
                        <a:srgbClr val="FFFFFF">
                          <a:alpha val="0"/>
                        </a:srgbClr>
                      </a:solidFill>
                    </wps:spPr>
                    <wps:txbx>
                      <w:txbxContent>
                        <w:p w14:paraId="0C2F3D33" w14:textId="77777777" w:rsidR="006D5DBA" w:rsidRDefault="00000000">
                          <w:pPr>
                            <w:pStyle w:val="ae"/>
                            <w:rPr>
                              <w:rStyle w:val="a4"/>
                            </w:rPr>
                          </w:pPr>
                          <w:r>
                            <w:rPr>
                              <w:rStyle w:val="a4"/>
                            </w:rPr>
                            <w:fldChar w:fldCharType="begin"/>
                          </w:r>
                          <w:r>
                            <w:rPr>
                              <w:rStyle w:val="a4"/>
                            </w:rPr>
                            <w:instrText xml:space="preserve"> PAGE </w:instrText>
                          </w:r>
                          <w:r>
                            <w:rPr>
                              <w:rStyle w:val="a4"/>
                            </w:rPr>
                            <w:fldChar w:fldCharType="separate"/>
                          </w:r>
                          <w:r>
                            <w:rPr>
                              <w:rStyle w:val="a4"/>
                            </w:rPr>
                            <w:t>7</w:t>
                          </w:r>
                          <w:r>
                            <w:rPr>
                              <w:rStyle w:val="a4"/>
                            </w:rPr>
                            <w:fldChar w:fldCharType="end"/>
                          </w:r>
                        </w:p>
                      </w:txbxContent>
                    </wps:txbx>
                    <wps:bodyPr lIns="0" tIns="0" rIns="0" bIns="0" anchor="t">
                      <a:noAutofit/>
                    </wps:bodyPr>
                  </wps:wsp>
                </a:graphicData>
              </a:graphic>
            </wp:anchor>
          </w:drawing>
        </mc:Choice>
        <mc:Fallback>
          <w:pict>
            <v:shapetype w14:anchorId="72E869F7" id="_x0000_t202" coordsize="21600,21600" o:spt="202" path="m,l,21600r21600,l21600,xe">
              <v:stroke joinstyle="miter"/>
              <v:path gradientshapeok="t" o:connecttype="rect"/>
            </v:shapetype>
            <v:shape id="Frame1" o:spid="_x0000_s1026" type="#_x0000_t202" style="position:absolute;margin-left:0;margin-top:.05pt;width:5.75pt;height:13.65pt;z-index:9;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" o:allowincell="f" stroked="f">
              <v:fill opacity="0"/>
              <v:textbox inset="0,0,0,0">
                <w:txbxContent>
                  <w:p w14:paraId="0C2F3D33" w14:textId="77777777" w:rsidR="006D5DBA" w:rsidRDefault="00000000">
                    <w:pPr>
                      <w:pStyle w:val="ae"/>
                      <w:rPr>
                        <w:rStyle w:val="a4"/>
                      </w:rPr>
                    </w:pPr>
                    <w:r>
                      <w:rPr>
                        <w:rStyle w:val="a4"/>
                      </w:rPr>
                      <w:fldChar w:fldCharType="begin"/>
                    </w:r>
                    <w:r>
                      <w:rPr>
                        <w:rStyle w:val="a4"/>
                      </w:rPr>
                      <w:instrText xml:space="preserve"> PAGE </w:instrText>
                    </w:r>
                    <w:r>
                      <w:rPr>
                        <w:rStyle w:val="a4"/>
                      </w:rPr>
                      <w:fldChar w:fldCharType="separate"/>
                    </w:r>
                    <w:r>
                      <w:rPr>
                        <w:rStyle w:val="a4"/>
                      </w:rPr>
                      <w:t>7</w:t>
                    </w:r>
                    <w:r>
                      <w:rPr>
                        <w:rStyle w:val="a4"/>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E4316" w14:textId="77777777" w:rsidR="006D5DBA" w:rsidRDefault="006D5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C249C" w14:textId="77777777" w:rsidR="006711C2" w:rsidRDefault="006711C2">
      <w:r>
        <w:separator/>
      </w:r>
    </w:p>
  </w:footnote>
  <w:footnote w:type="continuationSeparator" w:id="0">
    <w:p w14:paraId="73B6C027" w14:textId="77777777" w:rsidR="006711C2" w:rsidRDefault="00671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1B89C" w14:textId="77777777" w:rsidR="006D5DBA" w:rsidRDefault="00000000">
    <w:pPr>
      <w:pStyle w:val="af"/>
    </w:pPr>
    <w:r>
      <w:rPr>
        <w:noProof/>
      </w:rPr>
      <w:drawing>
        <wp:inline distT="0" distB="0" distL="0" distR="0" wp14:anchorId="225DD136" wp14:editId="042FC030">
          <wp:extent cx="2134870" cy="492760"/>
          <wp:effectExtent l="0" t="0" r="0" b="0"/>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1"/>
                  <a:srcRect l="-10" t="-42" r="-10" b="-42"/>
                  <a:stretch>
                    <a:fillRect/>
                  </a:stretch>
                </pic:blipFill>
                <pic:spPr bwMode="auto">
                  <a:xfrm>
                    <a:off x="0" y="0"/>
                    <a:ext cx="2134870" cy="49276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E418D" w14:textId="77777777" w:rsidR="006D5DBA" w:rsidRDefault="00000000">
    <w:pPr>
      <w:pStyle w:val="af"/>
    </w:pPr>
    <w:r>
      <w:rPr>
        <w:noProof/>
      </w:rPr>
      <w:drawing>
        <wp:inline distT="0" distB="0" distL="0" distR="0" wp14:anchorId="36ECB46D" wp14:editId="31D27BE9">
          <wp:extent cx="2134870" cy="492760"/>
          <wp:effectExtent l="0" t="0" r="0" b="0"/>
          <wp:docPr id="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noChangeArrowheads="1"/>
                  </pic:cNvPicPr>
                </pic:nvPicPr>
                <pic:blipFill>
                  <a:blip r:embed="rId1"/>
                  <a:srcRect l="-10" t="-42" r="-10" b="-42"/>
                  <a:stretch>
                    <a:fillRect/>
                  </a:stretch>
                </pic:blipFill>
                <pic:spPr bwMode="auto">
                  <a:xfrm>
                    <a:off x="0" y="0"/>
                    <a:ext cx="2134870" cy="49276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04CD" w14:textId="77777777" w:rsidR="006D5DBA" w:rsidRDefault="006D5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47D3"/>
    <w:multiLevelType w:val="multilevel"/>
    <w:tmpl w:val="373EB0DA"/>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9193EFC"/>
    <w:multiLevelType w:val="multilevel"/>
    <w:tmpl w:val="FF3AEA90"/>
    <w:lvl w:ilvl="0">
      <w:start w:val="4"/>
      <w:numFmt w:val="decimal"/>
      <w:lvlText w:val="%1"/>
      <w:lvlJc w:val="left"/>
      <w:pPr>
        <w:tabs>
          <w:tab w:val="num" w:pos="0"/>
        </w:tabs>
        <w:ind w:left="360" w:hanging="360"/>
      </w:pPr>
    </w:lvl>
    <w:lvl w:ilvl="1">
      <w:start w:val="2"/>
      <w:numFmt w:val="decimal"/>
      <w:lvlText w:val="%1.%2"/>
      <w:lvlJc w:val="left"/>
      <w:pPr>
        <w:tabs>
          <w:tab w:val="num" w:pos="0"/>
        </w:tabs>
        <w:ind w:left="2640" w:hanging="720"/>
      </w:pPr>
    </w:lvl>
    <w:lvl w:ilvl="2">
      <w:start w:val="1"/>
      <w:numFmt w:val="decimal"/>
      <w:lvlText w:val="%1.%2.%3"/>
      <w:lvlJc w:val="left"/>
      <w:pPr>
        <w:tabs>
          <w:tab w:val="num" w:pos="0"/>
        </w:tabs>
        <w:ind w:left="4560" w:hanging="720"/>
      </w:pPr>
    </w:lvl>
    <w:lvl w:ilvl="3">
      <w:start w:val="1"/>
      <w:numFmt w:val="decimal"/>
      <w:lvlText w:val="%1.%2.%3.%4"/>
      <w:lvlJc w:val="left"/>
      <w:pPr>
        <w:tabs>
          <w:tab w:val="num" w:pos="0"/>
        </w:tabs>
        <w:ind w:left="6840" w:hanging="1080"/>
      </w:pPr>
    </w:lvl>
    <w:lvl w:ilvl="4">
      <w:start w:val="1"/>
      <w:numFmt w:val="decimal"/>
      <w:lvlText w:val="%1.%2.%3.%4.%5"/>
      <w:lvlJc w:val="left"/>
      <w:pPr>
        <w:tabs>
          <w:tab w:val="num" w:pos="0"/>
        </w:tabs>
        <w:ind w:left="8760" w:hanging="1080"/>
      </w:pPr>
    </w:lvl>
    <w:lvl w:ilvl="5">
      <w:start w:val="1"/>
      <w:numFmt w:val="decimal"/>
      <w:lvlText w:val="%1.%2.%3.%4.%5.%6"/>
      <w:lvlJc w:val="left"/>
      <w:pPr>
        <w:tabs>
          <w:tab w:val="num" w:pos="0"/>
        </w:tabs>
        <w:ind w:left="11040" w:hanging="1440"/>
      </w:pPr>
    </w:lvl>
    <w:lvl w:ilvl="6">
      <w:start w:val="1"/>
      <w:numFmt w:val="decimal"/>
      <w:lvlText w:val="%1.%2.%3.%4.%5.%6.%7"/>
      <w:lvlJc w:val="left"/>
      <w:pPr>
        <w:tabs>
          <w:tab w:val="num" w:pos="0"/>
        </w:tabs>
        <w:ind w:left="12960" w:hanging="1440"/>
      </w:pPr>
    </w:lvl>
    <w:lvl w:ilvl="7">
      <w:start w:val="1"/>
      <w:numFmt w:val="decimal"/>
      <w:lvlText w:val="%1.%2.%3.%4.%5.%6.%7.%8"/>
      <w:lvlJc w:val="left"/>
      <w:pPr>
        <w:tabs>
          <w:tab w:val="num" w:pos="0"/>
        </w:tabs>
        <w:ind w:left="15240" w:hanging="1800"/>
      </w:pPr>
    </w:lvl>
    <w:lvl w:ilvl="8">
      <w:start w:val="1"/>
      <w:numFmt w:val="decimal"/>
      <w:lvlText w:val="%1.%2.%3.%4.%5.%6.%7.%8.%9"/>
      <w:lvlJc w:val="left"/>
      <w:pPr>
        <w:tabs>
          <w:tab w:val="num" w:pos="0"/>
        </w:tabs>
        <w:ind w:left="17520" w:hanging="2160"/>
      </w:pPr>
    </w:lvl>
  </w:abstractNum>
  <w:abstractNum w:abstractNumId="2" w15:restartNumberingAfterBreak="0">
    <w:nsid w:val="1030256F"/>
    <w:multiLevelType w:val="multilevel"/>
    <w:tmpl w:val="BD20F0F4"/>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rPr>
    </w:lvl>
    <w:lvl w:ilvl="2">
      <w:start w:val="1"/>
      <w:numFmt w:val="decimal"/>
      <w:lvlText w:val="%3."/>
      <w:lvlJc w:val="right"/>
      <w:pPr>
        <w:tabs>
          <w:tab w:val="num" w:pos="0"/>
        </w:tabs>
        <w:ind w:left="1440" w:hanging="480"/>
      </w:pPr>
      <w:rPr>
        <w:b/>
        <w:color w:val="000000"/>
      </w:rPr>
    </w:lvl>
    <w:lvl w:ilvl="3">
      <w:start w:val="1"/>
      <w:numFmt w:val="bullet"/>
      <w:lvlText w:val=""/>
      <w:lvlJc w:val="left"/>
      <w:pPr>
        <w:tabs>
          <w:tab w:val="num" w:pos="0"/>
        </w:tabs>
        <w:ind w:left="1920" w:hanging="480"/>
      </w:pPr>
      <w:rPr>
        <w:rFonts w:ascii="Wingdings" w:hAnsi="Wingdings" w:cs="Wingdings" w:hint="default"/>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24837F12"/>
    <w:multiLevelType w:val="multilevel"/>
    <w:tmpl w:val="56C895F4"/>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29153E4E"/>
    <w:multiLevelType w:val="multilevel"/>
    <w:tmpl w:val="FB4AEAFE"/>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15:restartNumberingAfterBreak="0">
    <w:nsid w:val="299276D5"/>
    <w:multiLevelType w:val="multilevel"/>
    <w:tmpl w:val="2312AE7C"/>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 w15:restartNumberingAfterBreak="0">
    <w:nsid w:val="2AD601DF"/>
    <w:multiLevelType w:val="multilevel"/>
    <w:tmpl w:val="0CC2E8AE"/>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15:restartNumberingAfterBreak="0">
    <w:nsid w:val="2C0A4489"/>
    <w:multiLevelType w:val="multilevel"/>
    <w:tmpl w:val="0E449636"/>
    <w:lvl w:ilvl="0">
      <w:start w:val="1"/>
      <w:numFmt w:val="decimal"/>
      <w:lvlText w:val="(%1)."/>
      <w:lvlJc w:val="left"/>
      <w:pPr>
        <w:tabs>
          <w:tab w:val="num" w:pos="0"/>
        </w:tabs>
        <w:ind w:left="2400" w:hanging="48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D076C1"/>
    <w:multiLevelType w:val="multilevel"/>
    <w:tmpl w:val="3D681814"/>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 w15:restartNumberingAfterBreak="0">
    <w:nsid w:val="456A3CA7"/>
    <w:multiLevelType w:val="multilevel"/>
    <w:tmpl w:val="4BDED3C0"/>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 w15:restartNumberingAfterBreak="0">
    <w:nsid w:val="47234855"/>
    <w:multiLevelType w:val="multilevel"/>
    <w:tmpl w:val="5184BE90"/>
    <w:lvl w:ilvl="0">
      <w:start w:val="1"/>
      <w:numFmt w:val="bullet"/>
      <w:lvlText w:val=""/>
      <w:lvlJc w:val="left"/>
      <w:pPr>
        <w:tabs>
          <w:tab w:val="num" w:pos="0"/>
        </w:tabs>
        <w:ind w:left="192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7B0C7F"/>
    <w:multiLevelType w:val="multilevel"/>
    <w:tmpl w:val="37DAFAC2"/>
    <w:lvl w:ilvl="0">
      <w:start w:val="1"/>
      <w:numFmt w:val="decimal"/>
      <w:lvlText w:val="%1."/>
      <w:lvlJc w:val="left"/>
      <w:pPr>
        <w:tabs>
          <w:tab w:val="num" w:pos="255"/>
        </w:tabs>
        <w:ind w:left="255" w:hanging="255"/>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DF5F6B"/>
    <w:multiLevelType w:val="multilevel"/>
    <w:tmpl w:val="8B1AED8C"/>
    <w:lvl w:ilvl="0">
      <w:start w:val="1"/>
      <w:numFmt w:val="decimal"/>
      <w:lvlText w:val="%1."/>
      <w:lvlJc w:val="left"/>
      <w:pPr>
        <w:tabs>
          <w:tab w:val="num" w:pos="0"/>
        </w:tabs>
        <w:ind w:left="72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0C6071"/>
    <w:multiLevelType w:val="multilevel"/>
    <w:tmpl w:val="4B080616"/>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4" w15:restartNumberingAfterBreak="0">
    <w:nsid w:val="7D1B39C2"/>
    <w:multiLevelType w:val="multilevel"/>
    <w:tmpl w:val="07C8C060"/>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num w:numId="1" w16cid:durableId="175385189">
    <w:abstractNumId w:val="13"/>
  </w:num>
  <w:num w:numId="2" w16cid:durableId="178204347">
    <w:abstractNumId w:val="5"/>
  </w:num>
  <w:num w:numId="3" w16cid:durableId="457528178">
    <w:abstractNumId w:val="4"/>
  </w:num>
  <w:num w:numId="4" w16cid:durableId="45419092">
    <w:abstractNumId w:val="9"/>
  </w:num>
  <w:num w:numId="5" w16cid:durableId="723869905">
    <w:abstractNumId w:val="1"/>
  </w:num>
  <w:num w:numId="6" w16cid:durableId="1748266327">
    <w:abstractNumId w:val="10"/>
  </w:num>
  <w:num w:numId="7" w16cid:durableId="821771933">
    <w:abstractNumId w:val="3"/>
  </w:num>
  <w:num w:numId="8" w16cid:durableId="793325633">
    <w:abstractNumId w:val="11"/>
  </w:num>
  <w:num w:numId="9" w16cid:durableId="462356922">
    <w:abstractNumId w:val="12"/>
  </w:num>
  <w:num w:numId="10" w16cid:durableId="310058837">
    <w:abstractNumId w:val="14"/>
  </w:num>
  <w:num w:numId="11" w16cid:durableId="1086456431">
    <w:abstractNumId w:val="6"/>
  </w:num>
  <w:num w:numId="12" w16cid:durableId="1572155364">
    <w:abstractNumId w:val="7"/>
  </w:num>
  <w:num w:numId="13" w16cid:durableId="158623500">
    <w:abstractNumId w:val="0"/>
  </w:num>
  <w:num w:numId="14" w16cid:durableId="871261334">
    <w:abstractNumId w:val="8"/>
  </w:num>
  <w:num w:numId="15" w16cid:durableId="121047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36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BA"/>
    <w:rsid w:val="00307EFB"/>
    <w:rsid w:val="004909BC"/>
    <w:rsid w:val="0051523D"/>
    <w:rsid w:val="005C0AC2"/>
    <w:rsid w:val="00665381"/>
    <w:rsid w:val="006711C2"/>
    <w:rsid w:val="006D5DBA"/>
    <w:rsid w:val="00727688"/>
    <w:rsid w:val="00782B8C"/>
    <w:rsid w:val="007B3096"/>
    <w:rsid w:val="008315B9"/>
    <w:rsid w:val="008B44E4"/>
    <w:rsid w:val="009D516F"/>
    <w:rsid w:val="00A7724C"/>
    <w:rsid w:val="00B95746"/>
    <w:rsid w:val="00CD42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C931D"/>
  <w15:docId w15:val="{F0E05971-8BF9-46FB-AE99-8A540E72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rPr>
      <w:rFonts w:ascii="細明體;MingLiU" w:eastAsia="細明體;MingLiU" w:hAnsi="細明體;MingLiU" w:cs="Times New Roman"/>
      <w:szCs w:val="20"/>
      <w:lang w:eastAsia="zh-TW" w:bidi="ar-SA"/>
    </w:rPr>
  </w:style>
  <w:style w:type="paragraph" w:styleId="1">
    <w:name w:val="heading 1"/>
    <w:basedOn w:val="a"/>
    <w:next w:val="a"/>
    <w:uiPriority w:val="9"/>
    <w:qFormat/>
    <w:pPr>
      <w:numPr>
        <w:numId w:val="1"/>
      </w:numPr>
      <w:spacing w:before="360" w:after="360"/>
      <w:outlineLvl w:val="0"/>
    </w:pPr>
    <w:rPr>
      <w:rFonts w:ascii="新細明體;PMingLiU" w:eastAsia="新細明體;PMingLiU" w:hAnsi="新細明體;PMingLiU" w:cs="Arial"/>
      <w:b/>
      <w:sz w:val="60"/>
    </w:rPr>
  </w:style>
  <w:style w:type="paragraph" w:styleId="2">
    <w:name w:val="heading 2"/>
    <w:basedOn w:val="a"/>
    <w:next w:val="a"/>
    <w:uiPriority w:val="9"/>
    <w:semiHidden/>
    <w:unhideWhenUsed/>
    <w:qFormat/>
    <w:pPr>
      <w:keepNext/>
      <w:numPr>
        <w:ilvl w:val="1"/>
        <w:numId w:val="1"/>
      </w:numPr>
      <w:spacing w:line="720" w:lineRule="atLeast"/>
      <w:outlineLvl w:val="1"/>
    </w:pPr>
    <w:rPr>
      <w:rFonts w:ascii="新細明體;PMingLiU" w:eastAsia="新細明體;PMingLiU" w:hAnsi="新細明體;PMingLiU"/>
      <w:b/>
      <w:sz w:val="48"/>
    </w:rPr>
  </w:style>
  <w:style w:type="paragraph" w:styleId="3">
    <w:name w:val="heading 3"/>
    <w:basedOn w:val="a"/>
    <w:next w:val="a0"/>
    <w:uiPriority w:val="9"/>
    <w:semiHidden/>
    <w:unhideWhenUsed/>
    <w:qFormat/>
    <w:pPr>
      <w:numPr>
        <w:ilvl w:val="2"/>
        <w:numId w:val="1"/>
      </w:numPr>
      <w:spacing w:before="240" w:after="240"/>
      <w:outlineLvl w:val="2"/>
    </w:pPr>
    <w:rPr>
      <w:rFonts w:ascii="新細明體;PMingLiU" w:eastAsia="新細明體;PMingLiU" w:hAnsi="新細明體;PMingLiU" w:cs="Arial"/>
      <w:b/>
      <w:sz w:val="36"/>
    </w:rPr>
  </w:style>
  <w:style w:type="paragraph" w:styleId="4">
    <w:name w:val="heading 4"/>
    <w:basedOn w:val="a"/>
    <w:next w:val="a0"/>
    <w:uiPriority w:val="9"/>
    <w:semiHidden/>
    <w:unhideWhenUsed/>
    <w:qFormat/>
    <w:pPr>
      <w:numPr>
        <w:ilvl w:val="3"/>
        <w:numId w:val="1"/>
      </w:numPr>
      <w:spacing w:before="240" w:after="240"/>
      <w:outlineLvl w:val="3"/>
    </w:pPr>
    <w:rPr>
      <w:rFonts w:ascii="新細明體;PMingLiU" w:eastAsia="新細明體;PMingLiU" w:hAnsi="新細明體;PMingLiU" w:cs="Arial"/>
      <w:sz w:val="36"/>
    </w:rPr>
  </w:style>
  <w:style w:type="paragraph" w:styleId="5">
    <w:name w:val="heading 5"/>
    <w:basedOn w:val="a"/>
    <w:next w:val="a0"/>
    <w:uiPriority w:val="9"/>
    <w:semiHidden/>
    <w:unhideWhenUsed/>
    <w:qFormat/>
    <w:pPr>
      <w:numPr>
        <w:ilvl w:val="4"/>
        <w:numId w:val="1"/>
      </w:numPr>
      <w:spacing w:before="200" w:after="200"/>
      <w:outlineLvl w:val="4"/>
    </w:pPr>
    <w:rPr>
      <w:rFonts w:ascii="新細明體;PMingLiU" w:eastAsia="新細明體;PMingLiU" w:hAnsi="新細明體;PMingLiU" w:cs="Arial"/>
      <w:b/>
      <w:sz w:val="28"/>
    </w:rPr>
  </w:style>
  <w:style w:type="paragraph" w:styleId="6">
    <w:name w:val="heading 6"/>
    <w:basedOn w:val="a"/>
    <w:next w:val="a0"/>
    <w:uiPriority w:val="9"/>
    <w:semiHidden/>
    <w:unhideWhenUsed/>
    <w:qFormat/>
    <w:pPr>
      <w:numPr>
        <w:ilvl w:val="5"/>
        <w:numId w:val="1"/>
      </w:numPr>
      <w:spacing w:before="200" w:after="200"/>
      <w:outlineLvl w:val="5"/>
    </w:pPr>
    <w:rPr>
      <w:rFonts w:ascii="新細明體;PMingLiU" w:eastAsia="新細明體;PMingLiU" w:hAnsi="新細明體;PMingLiU" w:cs="Arial"/>
      <w:sz w:val="28"/>
    </w:rPr>
  </w:style>
  <w:style w:type="paragraph" w:styleId="7">
    <w:name w:val="heading 7"/>
    <w:basedOn w:val="a"/>
    <w:next w:val="a0"/>
    <w:qFormat/>
    <w:pPr>
      <w:numPr>
        <w:ilvl w:val="6"/>
        <w:numId w:val="1"/>
      </w:numPr>
      <w:spacing w:before="200" w:after="200"/>
      <w:outlineLvl w:val="6"/>
    </w:pPr>
    <w:rPr>
      <w:rFonts w:ascii="新細明體;PMingLiU" w:eastAsia="新細明體;PMingLiU" w:hAnsi="新細明體;PMingLiU" w:cs="Arial"/>
      <w:sz w:val="28"/>
    </w:rPr>
  </w:style>
  <w:style w:type="paragraph" w:styleId="8">
    <w:name w:val="heading 8"/>
    <w:basedOn w:val="a"/>
    <w:next w:val="a0"/>
    <w:qFormat/>
    <w:pPr>
      <w:numPr>
        <w:ilvl w:val="7"/>
        <w:numId w:val="1"/>
      </w:numPr>
      <w:spacing w:before="200" w:after="200"/>
      <w:outlineLvl w:val="7"/>
    </w:pPr>
    <w:rPr>
      <w:rFonts w:ascii="新細明體;PMingLiU" w:eastAsia="新細明體;PMingLiU" w:hAnsi="新細明體;PMingLiU" w:cs="Arial"/>
      <w:sz w:val="28"/>
    </w:rPr>
  </w:style>
  <w:style w:type="paragraph" w:styleId="9">
    <w:name w:val="heading 9"/>
    <w:basedOn w:val="a"/>
    <w:next w:val="a0"/>
    <w:qFormat/>
    <w:pPr>
      <w:numPr>
        <w:ilvl w:val="8"/>
        <w:numId w:val="1"/>
      </w:numPr>
      <w:spacing w:before="200" w:after="200"/>
      <w:outlineLvl w:val="8"/>
    </w:pPr>
    <w:rPr>
      <w:rFonts w:ascii="新細明體;PMingLiU" w:eastAsia="新細明體;PMingLiU" w:hAnsi="新細明體;PMingLiU" w:cs="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style>
  <w:style w:type="character" w:customStyle="1" w:styleId="WW8Num2z1">
    <w:name w:val="WW8Num2z1"/>
    <w:qFormat/>
    <w:rPr>
      <w:rFonts w:ascii="標楷體" w:eastAsia="標楷體" w:hAnsi="標楷體" w:cs="標楷體"/>
      <w:b/>
      <w:color w:val="000000"/>
      <w:lang w:val="en-US"/>
    </w:rPr>
  </w:style>
  <w:style w:type="character" w:customStyle="1" w:styleId="WW8Num2z2">
    <w:name w:val="WW8Num2z2"/>
    <w:qFormat/>
    <w:rPr>
      <w:b/>
      <w:color w:val="000000"/>
    </w:rPr>
  </w:style>
  <w:style w:type="character" w:customStyle="1" w:styleId="WW8Num2z3">
    <w:name w:val="WW8Num2z3"/>
    <w:qFormat/>
    <w:rPr>
      <w:b/>
    </w:rPr>
  </w:style>
  <w:style w:type="character" w:customStyle="1" w:styleId="WW8Num3z0">
    <w:name w:val="WW8Num3z0"/>
    <w:qFormat/>
  </w:style>
  <w:style w:type="character" w:customStyle="1" w:styleId="WW8Num5z0">
    <w:name w:val="WW8Num5z0"/>
    <w:qFormat/>
  </w:style>
  <w:style w:type="character" w:customStyle="1" w:styleId="WW8Num5z1">
    <w:name w:val="WW8Num5z1"/>
    <w:qFormat/>
    <w:rPr>
      <w:rFonts w:ascii="標楷體" w:eastAsia="標楷體" w:hAnsi="標楷體" w:cs="標楷體"/>
      <w:b/>
      <w:color w:val="000000"/>
    </w:rPr>
  </w:style>
  <w:style w:type="character" w:customStyle="1" w:styleId="WW8Num5z2">
    <w:name w:val="WW8Num5z2"/>
    <w:qFormat/>
    <w:rPr>
      <w:b/>
      <w:color w:val="000000"/>
    </w:rPr>
  </w:style>
  <w:style w:type="character" w:customStyle="1" w:styleId="WW8Num5z3">
    <w:name w:val="WW8Num5z3"/>
    <w:qFormat/>
    <w:rPr>
      <w:b/>
    </w:rPr>
  </w:style>
  <w:style w:type="character" w:customStyle="1" w:styleId="WW8Num6z0">
    <w:name w:val="WW8Num6z0"/>
    <w:qFormat/>
    <w:rPr>
      <w:rFonts w:ascii="Wingdings" w:hAnsi="Wingdings" w:cs="Wingdings"/>
    </w:rPr>
  </w:style>
  <w:style w:type="character" w:customStyle="1" w:styleId="WW8Num7z0">
    <w:name w:val="WW8Num7z0"/>
    <w:qFormat/>
    <w:rPr>
      <w:color w:val="000000"/>
    </w:rPr>
  </w:style>
  <w:style w:type="character" w:customStyle="1" w:styleId="WW8Num8z0">
    <w:name w:val="WW8Num8z0"/>
    <w:qFormat/>
  </w:style>
  <w:style w:type="character" w:customStyle="1" w:styleId="WW8Num8z1">
    <w:name w:val="WW8Num8z1"/>
    <w:qFormat/>
    <w:rPr>
      <w:rFonts w:ascii="標楷體" w:eastAsia="標楷體" w:hAnsi="標楷體" w:cs="標楷體"/>
      <w:b/>
      <w:color w:val="000000"/>
      <w:lang w:val="en-US"/>
    </w:rPr>
  </w:style>
  <w:style w:type="character" w:customStyle="1" w:styleId="WW8Num8z2">
    <w:name w:val="WW8Num8z2"/>
    <w:qFormat/>
    <w:rPr>
      <w:b/>
      <w:color w:val="000000"/>
    </w:rPr>
  </w:style>
  <w:style w:type="character" w:customStyle="1" w:styleId="WW8Num8z3">
    <w:name w:val="WW8Num8z3"/>
    <w:qFormat/>
    <w:rPr>
      <w:b/>
    </w:rPr>
  </w:style>
  <w:style w:type="character" w:customStyle="1" w:styleId="WW8Num9z0">
    <w:name w:val="WW8Num9z0"/>
    <w:qFormat/>
  </w:style>
  <w:style w:type="character" w:customStyle="1" w:styleId="WW8Num10z0">
    <w:name w:val="WW8Num10z0"/>
    <w:qFormat/>
  </w:style>
  <w:style w:type="character" w:customStyle="1" w:styleId="WW8Num10z1">
    <w:name w:val="WW8Num10z1"/>
    <w:qFormat/>
    <w:rPr>
      <w:rFonts w:ascii="標楷體" w:eastAsia="標楷體" w:hAnsi="標楷體" w:cs="標楷體"/>
      <w:b/>
      <w:color w:val="000000"/>
      <w:lang w:val="en-US"/>
    </w:rPr>
  </w:style>
  <w:style w:type="character" w:customStyle="1" w:styleId="WW8Num10z2">
    <w:name w:val="WW8Num10z2"/>
    <w:qFormat/>
    <w:rPr>
      <w:b/>
      <w:color w:val="000000"/>
    </w:rPr>
  </w:style>
  <w:style w:type="character" w:customStyle="1" w:styleId="WW8Num10z3">
    <w:name w:val="WW8Num10z3"/>
    <w:qFormat/>
    <w:rPr>
      <w:b/>
    </w:rPr>
  </w:style>
  <w:style w:type="character" w:customStyle="1" w:styleId="WW8Num11z0">
    <w:name w:val="WW8Num11z0"/>
    <w:qFormat/>
  </w:style>
  <w:style w:type="character" w:customStyle="1" w:styleId="WW8Num12z0">
    <w:name w:val="WW8Num12z0"/>
    <w:qFormat/>
    <w:rPr>
      <w:rFonts w:ascii="Symbol" w:hAnsi="Symbol" w:cs="Symbol"/>
      <w:sz w:val="20"/>
    </w:rPr>
  </w:style>
  <w:style w:type="character" w:customStyle="1" w:styleId="WW8Num12z1">
    <w:name w:val="WW8Num12z1"/>
    <w:qFormat/>
    <w:rPr>
      <w:rFonts w:ascii="Courier New" w:hAnsi="Courier New" w:cs="Courier New"/>
      <w:sz w:val="20"/>
    </w:rPr>
  </w:style>
  <w:style w:type="character" w:customStyle="1" w:styleId="WW8Num12z2">
    <w:name w:val="WW8Num12z2"/>
    <w:qFormat/>
    <w:rPr>
      <w:rFonts w:ascii="Wingdings" w:hAnsi="Wingdings" w:cs="Wingdings"/>
      <w:sz w:val="20"/>
    </w:rPr>
  </w:style>
  <w:style w:type="character" w:customStyle="1" w:styleId="WW8Num13z0">
    <w:name w:val="WW8Num13z0"/>
    <w:qFormat/>
  </w:style>
  <w:style w:type="character" w:customStyle="1" w:styleId="WW8Num14z0">
    <w:name w:val="WW8Num14z0"/>
    <w:qFormat/>
    <w:rPr>
      <w:rFonts w:ascii="Wingdings" w:hAnsi="Wingdings" w:cs="Wingdings"/>
    </w:rPr>
  </w:style>
  <w:style w:type="character" w:customStyle="1" w:styleId="WW8Num14z1">
    <w:name w:val="WW8Num14z1"/>
    <w:qFormat/>
    <w:rPr>
      <w:rFonts w:ascii="Symbol" w:eastAsia="新細明體;PMingLiU" w:hAnsi="Symbol" w:cs="新細明體;PMingLiU"/>
    </w:rPr>
  </w:style>
  <w:style w:type="character" w:customStyle="1" w:styleId="WW8Num15z0">
    <w:name w:val="WW8Num15z0"/>
    <w:qFormat/>
  </w:style>
  <w:style w:type="character" w:customStyle="1" w:styleId="WW8Num15z1">
    <w:name w:val="WW8Num15z1"/>
    <w:qFormat/>
    <w:rPr>
      <w:rFonts w:ascii="標楷體" w:eastAsia="標楷體" w:hAnsi="標楷體" w:cs="標楷體"/>
      <w:b/>
      <w:color w:val="000000"/>
      <w:lang w:val="en-US"/>
    </w:rPr>
  </w:style>
  <w:style w:type="character" w:customStyle="1" w:styleId="WW8Num15z2">
    <w:name w:val="WW8Num15z2"/>
    <w:qFormat/>
    <w:rPr>
      <w:b/>
      <w:color w:val="000000"/>
    </w:rPr>
  </w:style>
  <w:style w:type="character" w:customStyle="1" w:styleId="WW8Num15z3">
    <w:name w:val="WW8Num15z3"/>
    <w:qFormat/>
    <w:rPr>
      <w:b/>
    </w:rPr>
  </w:style>
  <w:style w:type="character" w:customStyle="1" w:styleId="WW8Num16z0">
    <w:name w:val="WW8Num16z0"/>
    <w:qFormat/>
    <w:rPr>
      <w:rFonts w:ascii="Wingdings" w:hAnsi="Wingdings" w:cs="Wingdings"/>
    </w:rPr>
  </w:style>
  <w:style w:type="character" w:customStyle="1" w:styleId="WW8Num17z0">
    <w:name w:val="WW8Num17z0"/>
    <w:qFormat/>
  </w:style>
  <w:style w:type="character" w:customStyle="1" w:styleId="WW8Num17z1">
    <w:name w:val="WW8Num17z1"/>
    <w:qFormat/>
    <w:rPr>
      <w:rFonts w:ascii="標楷體" w:eastAsia="標楷體" w:hAnsi="標楷體" w:cs="標楷體"/>
      <w:b/>
      <w:color w:val="000000"/>
    </w:rPr>
  </w:style>
  <w:style w:type="character" w:customStyle="1" w:styleId="WW8Num17z2">
    <w:name w:val="WW8Num17z2"/>
    <w:qFormat/>
    <w:rPr>
      <w:b/>
      <w:color w:val="000000"/>
    </w:rPr>
  </w:style>
  <w:style w:type="character" w:customStyle="1" w:styleId="WW8Num17z3">
    <w:name w:val="WW8Num17z3"/>
    <w:qFormat/>
    <w:rPr>
      <w:b/>
    </w:rPr>
  </w:style>
  <w:style w:type="character" w:customStyle="1" w:styleId="WW8Num18z0">
    <w:name w:val="WW8Num18z0"/>
    <w:qFormat/>
  </w:style>
  <w:style w:type="character" w:customStyle="1" w:styleId="WW8Num18z1">
    <w:name w:val="WW8Num18z1"/>
    <w:qFormat/>
    <w:rPr>
      <w:rFonts w:ascii="標楷體" w:eastAsia="標楷體" w:hAnsi="標楷體" w:cs="標楷體"/>
      <w:b/>
      <w:color w:val="000000"/>
    </w:rPr>
  </w:style>
  <w:style w:type="character" w:customStyle="1" w:styleId="WW8Num18z2">
    <w:name w:val="WW8Num18z2"/>
    <w:qFormat/>
    <w:rPr>
      <w:b/>
      <w:color w:val="000000"/>
    </w:rPr>
  </w:style>
  <w:style w:type="character" w:customStyle="1" w:styleId="WW8Num18z3">
    <w:name w:val="WW8Num18z3"/>
    <w:qFormat/>
    <w:rPr>
      <w:b/>
    </w:rPr>
  </w:style>
  <w:style w:type="character" w:customStyle="1" w:styleId="WW8Num19z0">
    <w:name w:val="WW8Num19z0"/>
    <w:qFormat/>
  </w:style>
  <w:style w:type="character" w:customStyle="1" w:styleId="WW8Num20z0">
    <w:name w:val="WW8Num20z0"/>
    <w:qFormat/>
  </w:style>
  <w:style w:type="character" w:customStyle="1" w:styleId="WW8Num20z1">
    <w:name w:val="WW8Num20z1"/>
    <w:qFormat/>
    <w:rPr>
      <w:rFonts w:ascii="標楷體" w:eastAsia="標楷體" w:hAnsi="標楷體" w:cs="標楷體"/>
      <w:b/>
      <w:color w:val="000000"/>
    </w:rPr>
  </w:style>
  <w:style w:type="character" w:customStyle="1" w:styleId="WW8Num20z2">
    <w:name w:val="WW8Num20z2"/>
    <w:qFormat/>
    <w:rPr>
      <w:b/>
      <w:color w:val="000000"/>
    </w:rPr>
  </w:style>
  <w:style w:type="character" w:customStyle="1" w:styleId="WW8Num20z3">
    <w:name w:val="WW8Num20z3"/>
    <w:qFormat/>
    <w:rPr>
      <w:b/>
    </w:rPr>
  </w:style>
  <w:style w:type="character" w:customStyle="1" w:styleId="WW8Num22z0">
    <w:name w:val="WW8Num22z0"/>
    <w:qFormat/>
  </w:style>
  <w:style w:type="character" w:customStyle="1" w:styleId="WW8Num22z1">
    <w:name w:val="WW8Num22z1"/>
    <w:qFormat/>
    <w:rPr>
      <w:rFonts w:ascii="標楷體" w:eastAsia="標楷體" w:hAnsi="標楷體" w:cs="標楷體"/>
      <w:b/>
      <w:color w:val="000000"/>
    </w:rPr>
  </w:style>
  <w:style w:type="character" w:customStyle="1" w:styleId="WW8Num22z2">
    <w:name w:val="WW8Num22z2"/>
    <w:qFormat/>
    <w:rPr>
      <w:b/>
      <w:color w:val="000000"/>
    </w:rPr>
  </w:style>
  <w:style w:type="character" w:customStyle="1" w:styleId="WW8Num22z3">
    <w:name w:val="WW8Num22z3"/>
    <w:qFormat/>
    <w:rPr>
      <w:rFonts w:ascii="Wingdings" w:hAnsi="Wingdings" w:cs="Wingdings"/>
      <w:b/>
    </w:rPr>
  </w:style>
  <w:style w:type="character" w:customStyle="1" w:styleId="WW8Num22z4">
    <w:name w:val="WW8Num22z4"/>
    <w:qFormat/>
    <w:rPr>
      <w:b/>
    </w:rPr>
  </w:style>
  <w:style w:type="character" w:customStyle="1" w:styleId="WW8Num23z0">
    <w:name w:val="WW8Num23z0"/>
    <w:qFormat/>
  </w:style>
  <w:style w:type="character" w:customStyle="1" w:styleId="WW8Num24z0">
    <w:name w:val="WW8Num24z0"/>
    <w:qFormat/>
  </w:style>
  <w:style w:type="character" w:customStyle="1" w:styleId="WW8Num24z1">
    <w:name w:val="WW8Num24z1"/>
    <w:qFormat/>
    <w:rPr>
      <w:rFonts w:ascii="標楷體" w:eastAsia="標楷體" w:hAnsi="標楷體" w:cs="標楷體"/>
      <w:b/>
      <w:color w:val="000000"/>
      <w:lang w:val="en-US"/>
    </w:rPr>
  </w:style>
  <w:style w:type="character" w:customStyle="1" w:styleId="WW8Num24z2">
    <w:name w:val="WW8Num24z2"/>
    <w:qFormat/>
    <w:rPr>
      <w:b/>
      <w:color w:val="000000"/>
    </w:rPr>
  </w:style>
  <w:style w:type="character" w:customStyle="1" w:styleId="WW8Num24z3">
    <w:name w:val="WW8Num24z3"/>
    <w:qFormat/>
    <w:rPr>
      <w:b/>
    </w:rPr>
  </w:style>
  <w:style w:type="character" w:customStyle="1" w:styleId="WW8Num25z0">
    <w:name w:val="WW8Num25z0"/>
    <w:qFormat/>
  </w:style>
  <w:style w:type="character" w:customStyle="1" w:styleId="WW8Num25z1">
    <w:name w:val="WW8Num25z1"/>
    <w:qFormat/>
    <w:rPr>
      <w:rFonts w:ascii="標楷體" w:eastAsia="標楷體" w:hAnsi="標楷體" w:cs="標楷體"/>
      <w:b/>
      <w:color w:val="000000"/>
      <w:lang w:val="en-US"/>
    </w:rPr>
  </w:style>
  <w:style w:type="character" w:customStyle="1" w:styleId="WW8Num25z2">
    <w:name w:val="WW8Num25z2"/>
    <w:qFormat/>
    <w:rPr>
      <w:b/>
      <w:color w:val="000000"/>
    </w:rPr>
  </w:style>
  <w:style w:type="character" w:customStyle="1" w:styleId="WW8Num25z3">
    <w:name w:val="WW8Num25z3"/>
    <w:qFormat/>
    <w:rPr>
      <w:b/>
    </w:rPr>
  </w:style>
  <w:style w:type="character" w:customStyle="1" w:styleId="WW8Num26z0">
    <w:name w:val="WW8Num26z0"/>
    <w:qFormat/>
  </w:style>
  <w:style w:type="character" w:customStyle="1" w:styleId="WW8Num26z1">
    <w:name w:val="WW8Num26z1"/>
    <w:qFormat/>
    <w:rPr>
      <w:rFonts w:ascii="標楷體" w:eastAsia="標楷體" w:hAnsi="標楷體" w:cs="標楷體"/>
      <w:b/>
      <w:color w:val="000000"/>
    </w:rPr>
  </w:style>
  <w:style w:type="character" w:customStyle="1" w:styleId="WW8Num26z2">
    <w:name w:val="WW8Num26z2"/>
    <w:qFormat/>
    <w:rPr>
      <w:b/>
      <w:color w:val="000000"/>
    </w:rPr>
  </w:style>
  <w:style w:type="character" w:customStyle="1" w:styleId="WW8Num26z3">
    <w:name w:val="WW8Num26z3"/>
    <w:qFormat/>
    <w:rPr>
      <w:b/>
    </w:rPr>
  </w:style>
  <w:style w:type="character" w:customStyle="1" w:styleId="WW8Num27z0">
    <w:name w:val="WW8Num27z0"/>
    <w:qFormat/>
    <w:rPr>
      <w:rFonts w:ascii="Wingdings" w:hAnsi="Wingdings" w:cs="Wingdings"/>
    </w:rPr>
  </w:style>
  <w:style w:type="character" w:customStyle="1" w:styleId="WW8Num28z0">
    <w:name w:val="WW8Num28z0"/>
    <w:qFormat/>
    <w:rPr>
      <w:b w:val="0"/>
    </w:rPr>
  </w:style>
  <w:style w:type="character" w:customStyle="1" w:styleId="WW8Num29z0">
    <w:name w:val="WW8Num29z0"/>
    <w:qFormat/>
  </w:style>
  <w:style w:type="character" w:customStyle="1" w:styleId="WW8Num29z1">
    <w:name w:val="WW8Num29z1"/>
    <w:qFormat/>
    <w:rPr>
      <w:rFonts w:ascii="標楷體" w:eastAsia="標楷體" w:hAnsi="標楷體" w:cs="標楷體"/>
      <w:b/>
      <w:color w:val="000000"/>
    </w:rPr>
  </w:style>
  <w:style w:type="character" w:customStyle="1" w:styleId="WW8Num29z2">
    <w:name w:val="WW8Num29z2"/>
    <w:qFormat/>
    <w:rPr>
      <w:b/>
      <w:color w:val="000000"/>
    </w:rPr>
  </w:style>
  <w:style w:type="character" w:customStyle="1" w:styleId="WW8Num29z3">
    <w:name w:val="WW8Num29z3"/>
    <w:qFormat/>
    <w:rPr>
      <w:b/>
    </w:rPr>
  </w:style>
  <w:style w:type="character" w:customStyle="1" w:styleId="WW8Num30z0">
    <w:name w:val="WW8Num30z0"/>
    <w:qFormat/>
  </w:style>
  <w:style w:type="character" w:customStyle="1" w:styleId="WW8Num30z1">
    <w:name w:val="WW8Num30z1"/>
    <w:qFormat/>
    <w:rPr>
      <w:rFonts w:ascii="標楷體" w:eastAsia="標楷體" w:hAnsi="標楷體" w:cs="標楷體"/>
      <w:b/>
      <w:color w:val="000000"/>
      <w:lang w:val="en-US"/>
    </w:rPr>
  </w:style>
  <w:style w:type="character" w:customStyle="1" w:styleId="WW8Num30z2">
    <w:name w:val="WW8Num30z2"/>
    <w:qFormat/>
    <w:rPr>
      <w:b/>
      <w:color w:val="000000"/>
    </w:rPr>
  </w:style>
  <w:style w:type="character" w:customStyle="1" w:styleId="WW8Num30z3">
    <w:name w:val="WW8Num30z3"/>
    <w:qFormat/>
    <w:rPr>
      <w:b/>
    </w:rPr>
  </w:style>
  <w:style w:type="character" w:customStyle="1" w:styleId="WW8Num31z0">
    <w:name w:val="WW8Num31z0"/>
    <w:qFormat/>
    <w:rPr>
      <w:rFonts w:ascii="Wingdings" w:hAnsi="Wingdings" w:cs="Wingdings"/>
    </w:rPr>
  </w:style>
  <w:style w:type="character" w:customStyle="1" w:styleId="WW8Num32z0">
    <w:name w:val="WW8Num32z0"/>
    <w:qFormat/>
  </w:style>
  <w:style w:type="character" w:customStyle="1" w:styleId="WW8Num32z1">
    <w:name w:val="WW8Num32z1"/>
    <w:qFormat/>
    <w:rPr>
      <w:rFonts w:ascii="標楷體" w:eastAsia="標楷體" w:hAnsi="標楷體" w:cs="標楷體"/>
      <w:b/>
      <w:color w:val="000000"/>
    </w:rPr>
  </w:style>
  <w:style w:type="character" w:customStyle="1" w:styleId="WW8Num32z2">
    <w:name w:val="WW8Num32z2"/>
    <w:qFormat/>
    <w:rPr>
      <w:b/>
      <w:color w:val="000000"/>
    </w:rPr>
  </w:style>
  <w:style w:type="character" w:customStyle="1" w:styleId="WW8Num32z3">
    <w:name w:val="WW8Num32z3"/>
    <w:qFormat/>
    <w:rPr>
      <w:rFonts w:ascii="Wingdings" w:hAnsi="Wingdings" w:cs="Wingdings"/>
      <w:b/>
    </w:rPr>
  </w:style>
  <w:style w:type="character" w:customStyle="1" w:styleId="WW8Num32z4">
    <w:name w:val="WW8Num32z4"/>
    <w:qFormat/>
    <w:rPr>
      <w:b/>
    </w:rPr>
  </w:style>
  <w:style w:type="character" w:customStyle="1" w:styleId="WW8Num33z0">
    <w:name w:val="WW8Num33z0"/>
    <w:qFormat/>
  </w:style>
  <w:style w:type="character" w:customStyle="1" w:styleId="WW8Num33z1">
    <w:name w:val="WW8Num33z1"/>
    <w:qFormat/>
    <w:rPr>
      <w:rFonts w:ascii="標楷體" w:eastAsia="標楷體" w:hAnsi="標楷體" w:cs="標楷體"/>
      <w:b/>
      <w:color w:val="000000"/>
    </w:rPr>
  </w:style>
  <w:style w:type="character" w:customStyle="1" w:styleId="WW8Num33z2">
    <w:name w:val="WW8Num33z2"/>
    <w:qFormat/>
    <w:rPr>
      <w:b/>
      <w:color w:val="000000"/>
    </w:rPr>
  </w:style>
  <w:style w:type="character" w:customStyle="1" w:styleId="WW8Num33z3">
    <w:name w:val="WW8Num33z3"/>
    <w:qFormat/>
    <w:rPr>
      <w:b/>
    </w:rPr>
  </w:style>
  <w:style w:type="character" w:customStyle="1" w:styleId="FootnoteCharacters">
    <w:name w:val="Footnote Characters"/>
    <w:qFormat/>
    <w:rPr>
      <w:sz w:val="18"/>
      <w:vertAlign w:val="superscript"/>
    </w:rPr>
  </w:style>
  <w:style w:type="character" w:styleId="a4">
    <w:name w:val="page number"/>
    <w:basedOn w:val="a1"/>
  </w:style>
  <w:style w:type="character" w:styleId="a5">
    <w:name w:val="annotation reference"/>
    <w:qFormat/>
    <w:rPr>
      <w:sz w:val="18"/>
      <w:szCs w:val="18"/>
    </w:rPr>
  </w:style>
  <w:style w:type="character" w:customStyle="1" w:styleId="a6">
    <w:name w:val="日期 字元"/>
    <w:qFormat/>
    <w:rPr>
      <w:sz w:val="24"/>
    </w:rPr>
  </w:style>
  <w:style w:type="character" w:customStyle="1" w:styleId="a7">
    <w:name w:val="頁尾 字元"/>
    <w:qFormat/>
  </w:style>
  <w:style w:type="character" w:styleId="a8">
    <w:name w:val="Hyperlink"/>
    <w:rPr>
      <w:color w:val="0563C1"/>
      <w:u w:val="single"/>
    </w:rPr>
  </w:style>
  <w:style w:type="character" w:styleId="a9">
    <w:name w:val="Emphasis"/>
    <w:qFormat/>
    <w:rPr>
      <w:i/>
      <w:iCs/>
    </w:rPr>
  </w:style>
  <w:style w:type="character" w:customStyle="1" w:styleId="inqyif">
    <w:name w:val="inqyif"/>
    <w:basedOn w:val="a1"/>
    <w:qFormat/>
  </w:style>
  <w:style w:type="character" w:styleId="aa">
    <w:name w:val="Strong"/>
    <w:qFormat/>
    <w:rPr>
      <w:b/>
      <w:bCs/>
    </w:rPr>
  </w:style>
  <w:style w:type="character" w:customStyle="1" w:styleId="IndexLink">
    <w:name w:val="Index Link"/>
    <w:qFormat/>
  </w:style>
  <w:style w:type="paragraph" w:customStyle="1" w:styleId="Heading">
    <w:name w:val="Heading"/>
    <w:basedOn w:val="a"/>
    <w:next w:val="ab"/>
    <w:qFormat/>
    <w:pPr>
      <w:spacing w:line="510" w:lineRule="atLeast"/>
      <w:jc w:val="center"/>
    </w:pPr>
    <w:rPr>
      <w:rFonts w:ascii="華康中楷體;微軟正黑體" w:eastAsia="華康中楷體;微軟正黑體" w:hAnsi="華康中楷體;微軟正黑體"/>
      <w:sz w:val="40"/>
    </w:rPr>
  </w:style>
  <w:style w:type="paragraph" w:styleId="ab">
    <w:name w:val="Body Text"/>
    <w:basedOn w:val="a"/>
    <w:pPr>
      <w:spacing w:after="140" w:line="276" w:lineRule="auto"/>
    </w:pPr>
  </w:style>
  <w:style w:type="paragraph" w:styleId="ac">
    <w:name w:val="List"/>
    <w:basedOn w:val="ab"/>
    <w:rPr>
      <w:rFonts w:cs="Lohit Devanagari"/>
    </w:rPr>
  </w:style>
  <w:style w:type="paragraph" w:styleId="ad">
    <w:name w:val="caption"/>
    <w:basedOn w:val="a"/>
    <w:next w:val="a"/>
    <w:qFormat/>
    <w:rPr>
      <w:sz w:val="20"/>
    </w:rPr>
  </w:style>
  <w:style w:type="paragraph" w:customStyle="1" w:styleId="Index">
    <w:name w:val="Index"/>
    <w:basedOn w:val="a"/>
    <w:qFormat/>
    <w:pPr>
      <w:suppressLineNumbers/>
    </w:pPr>
    <w:rPr>
      <w:rFonts w:cs="Lohit Devanagari"/>
    </w:rPr>
  </w:style>
  <w:style w:type="paragraph" w:styleId="a0">
    <w:name w:val="Normal Indent"/>
    <w:basedOn w:val="a"/>
    <w:qFormat/>
    <w:pPr>
      <w:ind w:left="480"/>
    </w:pPr>
  </w:style>
  <w:style w:type="paragraph" w:customStyle="1" w:styleId="HeaderandFooter">
    <w:name w:val="Header and Footer"/>
    <w:basedOn w:val="a"/>
    <w:qFormat/>
    <w:pPr>
      <w:suppressLineNumbers/>
      <w:tabs>
        <w:tab w:val="center" w:pos="4819"/>
        <w:tab w:val="right" w:pos="9638"/>
      </w:tabs>
    </w:pPr>
  </w:style>
  <w:style w:type="paragraph" w:styleId="ae">
    <w:name w:val="footer"/>
    <w:basedOn w:val="a"/>
    <w:pPr>
      <w:tabs>
        <w:tab w:val="center" w:pos="4819"/>
        <w:tab w:val="right" w:pos="9071"/>
      </w:tabs>
    </w:pPr>
    <w:rPr>
      <w:sz w:val="20"/>
    </w:rPr>
  </w:style>
  <w:style w:type="paragraph" w:styleId="af">
    <w:name w:val="header"/>
    <w:basedOn w:val="a"/>
    <w:pPr>
      <w:tabs>
        <w:tab w:val="center" w:pos="4819"/>
        <w:tab w:val="right" w:pos="9071"/>
      </w:tabs>
    </w:pPr>
    <w:rPr>
      <w:sz w:val="20"/>
    </w:rPr>
  </w:style>
  <w:style w:type="paragraph" w:styleId="af0">
    <w:name w:val="footnote text"/>
    <w:basedOn w:val="a"/>
    <w:rPr>
      <w:sz w:val="20"/>
    </w:rPr>
  </w:style>
  <w:style w:type="paragraph" w:customStyle="1" w:styleId="Normal1">
    <w:name w:val="Normal1"/>
    <w:qFormat/>
    <w:pPr>
      <w:widowControl w:val="0"/>
      <w:spacing w:line="360" w:lineRule="atLeast"/>
      <w:textAlignment w:val="baseline"/>
    </w:pPr>
    <w:rPr>
      <w:rFonts w:ascii="細明體;MingLiU" w:eastAsia="細明體;MingLiU" w:hAnsi="細明體;MingLiU" w:cs="Times New Roman"/>
      <w:szCs w:val="20"/>
      <w:lang w:eastAsia="zh-TW" w:bidi="ar-SA"/>
    </w:rPr>
  </w:style>
  <w:style w:type="paragraph" w:customStyle="1" w:styleId="af1">
    <w:name w:val="資料號碼"/>
    <w:basedOn w:val="a"/>
    <w:qFormat/>
    <w:pPr>
      <w:spacing w:line="510" w:lineRule="atLeast"/>
    </w:pPr>
    <w:rPr>
      <w:rFonts w:ascii="華康中楷體;微軟正黑體" w:eastAsia="華康中楷體;微軟正黑體" w:hAnsi="華康中楷體;微軟正黑體"/>
      <w:sz w:val="30"/>
    </w:rPr>
  </w:style>
  <w:style w:type="paragraph" w:customStyle="1" w:styleId="af2">
    <w:name w:val="表格"/>
    <w:basedOn w:val="a"/>
    <w:qFormat/>
    <w:pPr>
      <w:spacing w:line="244" w:lineRule="exact"/>
      <w:ind w:left="653"/>
    </w:pPr>
    <w:rPr>
      <w:rFonts w:ascii="華康中楷體;微軟正黑體" w:eastAsia="華康中楷體;微軟正黑體" w:hAnsi="華康中楷體;微軟正黑體"/>
      <w:sz w:val="26"/>
    </w:rPr>
  </w:style>
  <w:style w:type="paragraph" w:customStyle="1" w:styleId="11">
    <w:name w:val="1.(1)"/>
    <w:basedOn w:val="Normal1"/>
    <w:qFormat/>
    <w:pPr>
      <w:spacing w:line="510" w:lineRule="atLeast"/>
      <w:ind w:left="1736" w:right="851" w:hanging="378"/>
      <w:jc w:val="both"/>
    </w:pPr>
    <w:rPr>
      <w:rFonts w:ascii="華康中楷體;微軟正黑體" w:eastAsia="華康中楷體;微軟正黑體" w:hAnsi="華康中楷體;微軟正黑體"/>
      <w:sz w:val="26"/>
    </w:rPr>
  </w:style>
  <w:style w:type="paragraph" w:customStyle="1" w:styleId="10">
    <w:name w:val="1."/>
    <w:basedOn w:val="Normal1"/>
    <w:qFormat/>
    <w:pPr>
      <w:spacing w:line="510" w:lineRule="atLeast"/>
      <w:ind w:left="1358" w:right="851" w:hanging="507"/>
      <w:jc w:val="both"/>
    </w:pPr>
    <w:rPr>
      <w:rFonts w:ascii="華康中楷體;微軟正黑體" w:eastAsia="華康中楷體;微軟正黑體" w:hAnsi="華康中楷體;微軟正黑體"/>
      <w:sz w:val="26"/>
    </w:rPr>
  </w:style>
  <w:style w:type="paragraph" w:customStyle="1" w:styleId="11A">
    <w:name w:val="1.(1)(A)"/>
    <w:basedOn w:val="11"/>
    <w:qFormat/>
    <w:pPr>
      <w:ind w:left="2128" w:hanging="392"/>
    </w:pPr>
  </w:style>
  <w:style w:type="paragraph" w:customStyle="1" w:styleId="110">
    <w:name w:val="1.1"/>
    <w:basedOn w:val="11"/>
    <w:qFormat/>
    <w:pPr>
      <w:ind w:left="1980" w:hanging="622"/>
    </w:pPr>
  </w:style>
  <w:style w:type="paragraph" w:customStyle="1" w:styleId="111">
    <w:name w:val="1.1(1)"/>
    <w:basedOn w:val="11"/>
    <w:qFormat/>
    <w:pPr>
      <w:ind w:left="2336" w:hanging="357"/>
    </w:pPr>
  </w:style>
  <w:style w:type="paragraph" w:customStyle="1" w:styleId="111A">
    <w:name w:val="1.1(1)(A)"/>
    <w:basedOn w:val="11"/>
    <w:qFormat/>
    <w:pPr>
      <w:ind w:left="2758"/>
    </w:pPr>
  </w:style>
  <w:style w:type="paragraph" w:customStyle="1" w:styleId="1110">
    <w:name w:val="1.1.1"/>
    <w:basedOn w:val="11"/>
    <w:qFormat/>
    <w:pPr>
      <w:ind w:left="2438" w:hanging="811"/>
    </w:pPr>
  </w:style>
  <w:style w:type="paragraph" w:customStyle="1" w:styleId="1111">
    <w:name w:val="1.1.1(1)"/>
    <w:basedOn w:val="11"/>
    <w:qFormat/>
    <w:pPr>
      <w:ind w:left="2870" w:hanging="364"/>
    </w:pPr>
  </w:style>
  <w:style w:type="paragraph" w:customStyle="1" w:styleId="1111A">
    <w:name w:val="1.1.1(1)(A)"/>
    <w:basedOn w:val="11"/>
    <w:qFormat/>
    <w:pPr>
      <w:ind w:left="3262" w:hanging="392"/>
    </w:pPr>
  </w:style>
  <w:style w:type="paragraph" w:customStyle="1" w:styleId="20">
    <w:name w:val="2."/>
    <w:basedOn w:val="11"/>
    <w:qFormat/>
    <w:pPr>
      <w:ind w:left="1361" w:firstLine="0"/>
    </w:pPr>
  </w:style>
  <w:style w:type="paragraph" w:customStyle="1" w:styleId="Af3">
    <w:name w:val="內文A"/>
    <w:basedOn w:val="a"/>
    <w:qFormat/>
    <w:pPr>
      <w:spacing w:line="510" w:lineRule="atLeast"/>
      <w:ind w:left="653"/>
    </w:pPr>
    <w:rPr>
      <w:rFonts w:ascii="華康中楷體;微軟正黑體" w:eastAsia="華康中楷體;微軟正黑體" w:hAnsi="華康中楷體;微軟正黑體"/>
      <w:sz w:val="26"/>
    </w:rPr>
  </w:style>
  <w:style w:type="paragraph" w:customStyle="1" w:styleId="1100">
    <w:name w:val="1.10"/>
    <w:basedOn w:val="110"/>
    <w:qFormat/>
    <w:pPr>
      <w:ind w:left="2070" w:hanging="709"/>
    </w:pPr>
  </w:style>
  <w:style w:type="paragraph" w:customStyle="1" w:styleId="11100">
    <w:name w:val="1.1.10"/>
    <w:basedOn w:val="110"/>
    <w:qFormat/>
    <w:rPr>
      <w:sz w:val="40"/>
    </w:rPr>
  </w:style>
  <w:style w:type="paragraph" w:customStyle="1" w:styleId="11101">
    <w:name w:val="1.1.10(1)"/>
    <w:basedOn w:val="1111"/>
    <w:qFormat/>
    <w:pPr>
      <w:ind w:left="2938" w:hanging="374"/>
    </w:pPr>
  </w:style>
  <w:style w:type="paragraph" w:styleId="af4">
    <w:name w:val="endnote text"/>
    <w:basedOn w:val="a"/>
    <w:rPr>
      <w:lang w:eastAsia="en-US"/>
    </w:rPr>
  </w:style>
  <w:style w:type="paragraph" w:customStyle="1" w:styleId="12">
    <w:name w:val="內文1"/>
    <w:basedOn w:val="af1"/>
    <w:qFormat/>
    <w:pPr>
      <w:tabs>
        <w:tab w:val="left" w:pos="1843"/>
        <w:tab w:val="center" w:pos="2835"/>
        <w:tab w:val="center" w:pos="7939"/>
        <w:tab w:val="center" w:pos="9639"/>
      </w:tabs>
      <w:ind w:left="1814" w:right="1304"/>
      <w:jc w:val="both"/>
    </w:pPr>
    <w:rPr>
      <w:sz w:val="26"/>
    </w:rPr>
  </w:style>
  <w:style w:type="paragraph" w:customStyle="1" w:styleId="100">
    <w:name w:val="1.0"/>
    <w:basedOn w:val="10"/>
    <w:qFormat/>
    <w:pPr>
      <w:ind w:left="256" w:right="113" w:hanging="227"/>
    </w:pPr>
  </w:style>
  <w:style w:type="paragraph" w:customStyle="1" w:styleId="af5">
    <w:name w:val="１"/>
    <w:basedOn w:val="12"/>
    <w:qFormat/>
    <w:pPr>
      <w:ind w:left="1304"/>
    </w:pPr>
  </w:style>
  <w:style w:type="paragraph" w:customStyle="1" w:styleId="30">
    <w:name w:val="內文3"/>
    <w:basedOn w:val="a"/>
    <w:qFormat/>
    <w:pPr>
      <w:spacing w:line="397" w:lineRule="atLeast"/>
      <w:ind w:left="653"/>
    </w:pPr>
    <w:rPr>
      <w:rFonts w:ascii="華康中楷體;微軟正黑體" w:eastAsia="華康中楷體;微軟正黑體" w:hAnsi="華康中楷體;微軟正黑體"/>
      <w:sz w:val="26"/>
    </w:rPr>
  </w:style>
  <w:style w:type="paragraph" w:customStyle="1" w:styleId="01">
    <w:name w:val="01"/>
    <w:basedOn w:val="Af3"/>
    <w:qFormat/>
    <w:pPr>
      <w:spacing w:line="397" w:lineRule="atLeast"/>
      <w:ind w:left="0"/>
    </w:pPr>
  </w:style>
  <w:style w:type="paragraph" w:customStyle="1" w:styleId="21">
    <w:name w:val="內文2"/>
    <w:basedOn w:val="12"/>
    <w:qFormat/>
    <w:pPr>
      <w:tabs>
        <w:tab w:val="clear" w:pos="1843"/>
        <w:tab w:val="clear" w:pos="2835"/>
        <w:tab w:val="clear" w:pos="7939"/>
        <w:tab w:val="clear" w:pos="9639"/>
      </w:tabs>
      <w:ind w:left="1843"/>
    </w:pPr>
  </w:style>
  <w:style w:type="paragraph" w:customStyle="1" w:styleId="af6">
    <w:name w:val="內文３"/>
    <w:basedOn w:val="21"/>
    <w:qFormat/>
    <w:pPr>
      <w:tabs>
        <w:tab w:val="left" w:pos="2297"/>
      </w:tabs>
      <w:ind w:left="2948" w:hanging="851"/>
    </w:pPr>
  </w:style>
  <w:style w:type="paragraph" w:customStyle="1" w:styleId="24">
    <w:name w:val="內文24"/>
    <w:basedOn w:val="21"/>
    <w:qFormat/>
    <w:pPr>
      <w:ind w:left="2495" w:hanging="635"/>
    </w:pPr>
  </w:style>
  <w:style w:type="paragraph" w:customStyle="1" w:styleId="13">
    <w:name w:val="(1)"/>
    <w:basedOn w:val="af6"/>
    <w:qFormat/>
    <w:pPr>
      <w:tabs>
        <w:tab w:val="left" w:pos="3119"/>
      </w:tabs>
      <w:ind w:left="2722" w:hanging="357"/>
    </w:pPr>
  </w:style>
  <w:style w:type="paragraph" w:customStyle="1" w:styleId="1112">
    <w:name w:val="1.1.1(2)"/>
    <w:basedOn w:val="1111"/>
    <w:qFormat/>
    <w:pPr>
      <w:ind w:left="3459" w:right="1361" w:hanging="483"/>
    </w:pPr>
  </w:style>
  <w:style w:type="paragraph" w:customStyle="1" w:styleId="af7">
    <w:name w:val="標"/>
    <w:basedOn w:val="a"/>
    <w:qFormat/>
    <w:pPr>
      <w:spacing w:line="454" w:lineRule="atLeast"/>
      <w:jc w:val="both"/>
    </w:pPr>
    <w:rPr>
      <w:rFonts w:ascii="華康中楷體;微軟正黑體" w:eastAsia="華康中楷體;微軟正黑體" w:hAnsi="華康中楷體;微軟正黑體"/>
      <w:sz w:val="30"/>
    </w:rPr>
  </w:style>
  <w:style w:type="paragraph" w:styleId="22">
    <w:name w:val="Body Text 2"/>
    <w:basedOn w:val="a"/>
    <w:qFormat/>
    <w:pPr>
      <w:spacing w:line="360" w:lineRule="atLeast"/>
      <w:jc w:val="both"/>
    </w:pPr>
    <w:rPr>
      <w:rFonts w:ascii="Times New Roman" w:eastAsia="標楷體" w:hAnsi="Times New Roman"/>
      <w:kern w:val="2"/>
      <w:sz w:val="32"/>
    </w:rPr>
  </w:style>
  <w:style w:type="paragraph" w:styleId="af8">
    <w:name w:val="Plain Text"/>
    <w:basedOn w:val="a"/>
    <w:qFormat/>
    <w:pPr>
      <w:textAlignment w:val="auto"/>
    </w:pPr>
    <w:rPr>
      <w:rFonts w:cs="Courier New"/>
      <w:kern w:val="2"/>
    </w:rPr>
  </w:style>
  <w:style w:type="paragraph" w:styleId="af9">
    <w:name w:val="annotation text"/>
    <w:basedOn w:val="a"/>
    <w:qFormat/>
  </w:style>
  <w:style w:type="paragraph" w:styleId="afa">
    <w:name w:val="annotation subject"/>
    <w:basedOn w:val="af9"/>
    <w:next w:val="af9"/>
    <w:qFormat/>
    <w:rPr>
      <w:b/>
      <w:bCs/>
    </w:rPr>
  </w:style>
  <w:style w:type="paragraph" w:styleId="afb">
    <w:name w:val="Balloon Text"/>
    <w:basedOn w:val="a"/>
    <w:qFormat/>
    <w:rPr>
      <w:rFonts w:ascii="Arial" w:eastAsia="新細明體;PMingLiU" w:hAnsi="Arial" w:cs="Arial"/>
      <w:sz w:val="18"/>
      <w:szCs w:val="18"/>
    </w:rPr>
  </w:style>
  <w:style w:type="paragraph" w:styleId="afc">
    <w:name w:val="List Paragraph"/>
    <w:basedOn w:val="a"/>
    <w:qFormat/>
    <w:pPr>
      <w:ind w:left="480"/>
    </w:pPr>
  </w:style>
  <w:style w:type="paragraph" w:styleId="afd">
    <w:name w:val="Date"/>
    <w:basedOn w:val="a"/>
    <w:next w:val="a"/>
    <w:qFormat/>
    <w:pPr>
      <w:jc w:val="right"/>
    </w:pPr>
  </w:style>
  <w:style w:type="paragraph" w:styleId="afe">
    <w:name w:val="TOC Heading"/>
    <w:basedOn w:val="1"/>
    <w:next w:val="a"/>
    <w:qFormat/>
    <w:pPr>
      <w:keepNext/>
      <w:keepLines/>
      <w:widowControl/>
      <w:numPr>
        <w:numId w:val="0"/>
      </w:numPr>
      <w:spacing w:before="240" w:after="0" w:line="257" w:lineRule="auto"/>
      <w:textAlignment w:val="auto"/>
      <w:outlineLvl w:val="9"/>
    </w:pPr>
    <w:rPr>
      <w:rFonts w:ascii="Calibri Light" w:hAnsi="Calibri Light" w:cs="Times New Roman"/>
      <w:b w:val="0"/>
      <w:color w:val="2E74B5"/>
      <w:sz w:val="32"/>
      <w:szCs w:val="32"/>
    </w:rPr>
  </w:style>
  <w:style w:type="paragraph" w:styleId="23">
    <w:name w:val="toc 2"/>
    <w:basedOn w:val="a"/>
    <w:next w:val="a"/>
    <w:pPr>
      <w:widowControl/>
      <w:spacing w:after="100" w:line="257" w:lineRule="auto"/>
      <w:ind w:left="220"/>
      <w:textAlignment w:val="auto"/>
    </w:pPr>
    <w:rPr>
      <w:rFonts w:ascii="Calibri" w:eastAsia="新細明體;PMingLiU" w:hAnsi="Calibri" w:cs="Calibri"/>
      <w:sz w:val="22"/>
      <w:szCs w:val="22"/>
    </w:rPr>
  </w:style>
  <w:style w:type="paragraph" w:styleId="14">
    <w:name w:val="toc 1"/>
    <w:basedOn w:val="a"/>
    <w:next w:val="a"/>
    <w:pPr>
      <w:widowControl/>
      <w:tabs>
        <w:tab w:val="left" w:pos="720"/>
        <w:tab w:val="right" w:leader="underscore" w:pos="8779"/>
      </w:tabs>
      <w:spacing w:after="100" w:line="257" w:lineRule="auto"/>
      <w:textAlignment w:val="auto"/>
    </w:pPr>
    <w:rPr>
      <w:rFonts w:ascii="Calibri" w:eastAsia="新細明體;PMingLiU" w:hAnsi="Calibri" w:cs="Calibri"/>
      <w:sz w:val="22"/>
      <w:szCs w:val="22"/>
    </w:rPr>
  </w:style>
  <w:style w:type="paragraph" w:styleId="31">
    <w:name w:val="toc 3"/>
    <w:basedOn w:val="a"/>
    <w:next w:val="a"/>
    <w:pPr>
      <w:widowControl/>
      <w:spacing w:after="100" w:line="257" w:lineRule="auto"/>
      <w:ind w:left="440"/>
      <w:textAlignment w:val="auto"/>
    </w:pPr>
    <w:rPr>
      <w:rFonts w:ascii="Calibri" w:eastAsia="新細明體;PMingLiU" w:hAnsi="Calibri" w:cs="Calibri"/>
      <w:sz w:val="22"/>
      <w:szCs w:val="22"/>
    </w:rPr>
  </w:style>
  <w:style w:type="paragraph" w:styleId="Web">
    <w:name w:val="Normal (Web)"/>
    <w:basedOn w:val="a"/>
    <w:qFormat/>
    <w:pPr>
      <w:widowControl/>
      <w:spacing w:before="100" w:after="100"/>
      <w:textAlignment w:val="auto"/>
    </w:pPr>
    <w:rPr>
      <w:rFonts w:ascii="新細明體;PMingLiU" w:eastAsia="新細明體;PMingLiU" w:hAnsi="新細明體;PMingLiU" w:cs="新細明體;PMingLiU"/>
      <w:szCs w:val="24"/>
    </w:rPr>
  </w:style>
  <w:style w:type="paragraph" w:customStyle="1" w:styleId="z1qcye">
    <w:name w:val="z1qcye"/>
    <w:basedOn w:val="a"/>
    <w:qFormat/>
    <w:pPr>
      <w:widowControl/>
      <w:spacing w:before="100" w:after="100"/>
      <w:textAlignment w:val="auto"/>
    </w:pPr>
    <w:rPr>
      <w:rFonts w:ascii="新細明體;PMingLiU" w:eastAsia="新細明體;PMingLiU" w:hAnsi="新細明體;PMingLiU" w:cs="新細明體;PMingLiU"/>
      <w:szCs w:val="24"/>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886</Words>
  <Characters>5054</Characters>
  <Application>Microsoft Office Word</Application>
  <DocSecurity>0</DocSecurity>
  <Lines>42</Lines>
  <Paragraphs>11</Paragraphs>
  <ScaleCrop>false</ScaleCrop>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15館地下室引入新鮮外氣工程規範書</dc:title>
  <dc:subject>15館地下室引入新鮮外氣工程規範書</dc:subject>
  <dc:creator>A60170</dc:creator>
  <cp:keywords/>
  <dc:description/>
  <cp:lastModifiedBy>陳淑慧</cp:lastModifiedBy>
  <cp:revision>2</cp:revision>
  <cp:lastPrinted>2018-04-23T14:05:00Z</cp:lastPrinted>
  <dcterms:created xsi:type="dcterms:W3CDTF">2026-09-29T01:29:00Z</dcterms:created>
  <dcterms:modified xsi:type="dcterms:W3CDTF">2026-09-29T01:29:00Z</dcterms:modified>
  <dc:language>en-US</dc:language>
</cp:coreProperties>
</file>