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5E9BE" w14:textId="77777777" w:rsidR="001E676B" w:rsidRDefault="00000000">
      <w:pPr>
        <w:pStyle w:val="af"/>
        <w:jc w:val="center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中小微企業</w:t>
      </w:r>
      <w:r>
        <w:rPr>
          <w:rFonts w:ascii="Times New Roman" w:eastAsia="標楷體" w:hAnsi="Times New Roman" w:cs="Times New Roman"/>
          <w:lang w:eastAsia="zh-TW"/>
        </w:rPr>
        <w:t>AI</w:t>
      </w:r>
      <w:r>
        <w:rPr>
          <w:rFonts w:ascii="Times New Roman" w:eastAsia="標楷體" w:hAnsi="Times New Roman" w:cs="Times New Roman"/>
          <w:lang w:eastAsia="zh-TW"/>
        </w:rPr>
        <w:t>工具</w:t>
      </w:r>
      <w:proofErr w:type="gramStart"/>
      <w:r>
        <w:rPr>
          <w:rFonts w:ascii="Times New Roman" w:eastAsia="標楷體" w:hAnsi="Times New Roman" w:cs="Times New Roman"/>
          <w:lang w:eastAsia="zh-TW"/>
        </w:rPr>
        <w:t>應用後測與</w:t>
      </w:r>
      <w:proofErr w:type="gramEnd"/>
      <w:r>
        <w:rPr>
          <w:rFonts w:ascii="Times New Roman" w:eastAsia="標楷體" w:hAnsi="Times New Roman" w:cs="Times New Roman"/>
          <w:lang w:eastAsia="zh-TW"/>
        </w:rPr>
        <w:t>成效分析</w:t>
      </w:r>
      <w:r>
        <w:rPr>
          <w:rFonts w:ascii="Times New Roman" w:eastAsia="標楷體" w:hAnsi="Times New Roman" w:cs="Times New Roman"/>
          <w:lang w:eastAsia="zh-TW"/>
        </w:rPr>
        <w:br/>
      </w:r>
      <w:r>
        <w:rPr>
          <w:rFonts w:ascii="Times New Roman" w:eastAsia="標楷體" w:hAnsi="Times New Roman" w:cs="Times New Roman"/>
          <w:lang w:eastAsia="zh-TW"/>
        </w:rPr>
        <w:t>採購規範書</w:t>
      </w:r>
    </w:p>
    <w:p w14:paraId="6174D398" w14:textId="77777777" w:rsidR="001E676B" w:rsidRDefault="00000000">
      <w:pPr>
        <w:pStyle w:val="1"/>
        <w:spacing w:before="18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>一、資格條件</w:t>
      </w:r>
    </w:p>
    <w:p w14:paraId="59E6698D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執行廠商應具備企業問卷調查、電話訪問、資料清理與統計分析及成果報告經驗，並具備問卷規劃、訪員訓練、督導及研究分析能力。</w:t>
      </w:r>
    </w:p>
    <w:p w14:paraId="776C1F4F" w14:textId="77777777" w:rsidR="001E676B" w:rsidRDefault="00000000">
      <w:pPr>
        <w:pStyle w:val="1"/>
        <w:spacing w:before="18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>二、調查範圍與執行內容</w:t>
      </w:r>
    </w:p>
    <w:p w14:paraId="09FA18C8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（一）調查對象與母體範圍</w:t>
      </w:r>
    </w:p>
    <w:p w14:paraId="5A956687" w14:textId="6739D45C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調查對象為本計畫於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115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年度實際推廣輔導並導入</w:t>
      </w:r>
      <w:r>
        <w:rPr>
          <w:rFonts w:eastAsia="標楷體" w:cs="Times New Roman"/>
          <w:sz w:val="24"/>
          <w:szCs w:val="24"/>
          <w:lang w:eastAsia="zh-TW"/>
        </w:rPr>
        <w:t>AI</w:t>
      </w:r>
      <w:r>
        <w:rPr>
          <w:rFonts w:eastAsia="標楷體" w:cs="Times New Roman"/>
          <w:sz w:val="24"/>
          <w:szCs w:val="24"/>
          <w:lang w:eastAsia="zh-TW"/>
        </w:rPr>
        <w:t>工具之中小微企業、店家或服務經營者，預估母體為</w:t>
      </w:r>
      <w:r w:rsidR="00EA7F75">
        <w:rPr>
          <w:rFonts w:eastAsia="標楷體" w:cs="Times New Roman" w:hint="eastAsia"/>
          <w:sz w:val="24"/>
          <w:szCs w:val="24"/>
          <w:lang w:eastAsia="zh-TW"/>
        </w:rPr>
        <w:t>750</w:t>
      </w:r>
      <w:r>
        <w:rPr>
          <w:rFonts w:eastAsia="標楷體" w:cs="Times New Roman"/>
          <w:sz w:val="24"/>
          <w:szCs w:val="24"/>
          <w:lang w:eastAsia="zh-TW"/>
        </w:rPr>
        <w:t>個不重複業者。名單由本院依執行進度陸續提供，廠商應就提供之名單辦理後續追蹤與調查。受訪者應為能說明工具實際使用情形之經營者、管理者或操作人員。</w:t>
      </w:r>
    </w:p>
    <w:p w14:paraId="308B39E3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（二）工具使用滿意度與成效調查</w:t>
      </w:r>
    </w:p>
    <w:p w14:paraId="68388211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依業者導入及開始使用時間分批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安排後測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，原則上於開始使用工具滿一個月後訪問，蒐集使用情形、滿意度、持續使用意願、操作障礙、應用效益及改善建議。曾使用後停止使用者，仍應納入追蹤，了解停止原因。</w:t>
      </w:r>
    </w:p>
    <w:p w14:paraId="5AE2C6C0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（三）資料分析與成果整理</w:t>
      </w:r>
    </w:p>
    <w:p w14:paraId="48EFA843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廠商應辦理問卷規劃與修訂、問卷系統建置、訪問安排、調查執行、資料清理與編碼、有效問卷檢核、統計分析、成果報告及簡報撰寫。成果應呈現母體名單處理情形、實際回收數、有效問卷數、工具使用滿意度及應用成效。</w:t>
      </w:r>
    </w:p>
    <w:p w14:paraId="2D16FD7D" w14:textId="77777777" w:rsidR="001E676B" w:rsidRDefault="00000000">
      <w:pPr>
        <w:pStyle w:val="1"/>
        <w:spacing w:before="18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>三、調查實施方法</w:t>
      </w:r>
    </w:p>
    <w:p w14:paraId="66077482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（一）問卷規劃與訪問方式</w:t>
      </w:r>
    </w:p>
    <w:p w14:paraId="470D7FBC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廠商應依工具使用滿意度及成效分析目的規劃問卷，經本院確認後執行，以電話訪問為主要方式。正式訪問前應完成訪員訓練、問卷流程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及跳題測試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，各批次使用共同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核心題項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，以利資料彙整與比較。</w:t>
      </w:r>
    </w:p>
    <w:p w14:paraId="6BEA2756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lastRenderedPageBreak/>
        <w:t>（二）名單管理與分批追蹤</w:t>
      </w:r>
    </w:p>
    <w:p w14:paraId="10F3F87E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廠商應整理本院陸續提供之名單，記錄業者基本資料、導入及開始使用日期、聯絡方式與訪問狀態，依使用滿一個月之時間安排訪問。提前使用工具且已符合追蹤時間者，得提前訪問；尚未滿一個月者，應另排訪問時間。</w:t>
      </w:r>
    </w:p>
    <w:p w14:paraId="7A90C320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未能完成訪問者，原則上於不同工作日、涵蓋上午及下午時段累計聯繫至少</w:t>
      </w:r>
      <w:r>
        <w:rPr>
          <w:rFonts w:eastAsia="標楷體" w:cs="Times New Roman"/>
          <w:sz w:val="24"/>
          <w:szCs w:val="24"/>
          <w:lang w:eastAsia="zh-TW"/>
        </w:rPr>
        <w:t>3</w:t>
      </w:r>
      <w:r>
        <w:rPr>
          <w:rFonts w:eastAsia="標楷體" w:cs="Times New Roman"/>
          <w:sz w:val="24"/>
          <w:szCs w:val="24"/>
          <w:lang w:eastAsia="zh-TW"/>
        </w:rPr>
        <w:t>次；業者指定時間者依約安排。明確拒訪、停業、聯絡資料失效或不符資格者，得記錄原因後結案；持續未接通者應完成規定聯繫次數。</w:t>
      </w:r>
    </w:p>
    <w:p w14:paraId="1E9A9C29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（三）有效問卷與品質管理</w:t>
      </w:r>
    </w:p>
    <w:p w14:paraId="2C659C59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有效問卷應符合受訪資格，完成適用之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核心題項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，且無重複、明顯不合理或無法判讀情形。廠商應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檢核題項完整性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、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跳題及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前後一致性，必要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時補問或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確認，並記錄問卷排除及資料修正原因。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核心題項與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有效問卷判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準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由雙方於執行前確認。</w:t>
      </w:r>
    </w:p>
    <w:p w14:paraId="512BD8CC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（四）</w:t>
      </w:r>
      <w:proofErr w:type="gramStart"/>
      <w:r>
        <w:rPr>
          <w:rFonts w:ascii="Times New Roman" w:eastAsia="標楷體" w:hAnsi="Times New Roman" w:cs="Times New Roman"/>
          <w:lang w:eastAsia="zh-TW"/>
        </w:rPr>
        <w:t>後測議題</w:t>
      </w:r>
      <w:proofErr w:type="gramEnd"/>
      <w:r>
        <w:rPr>
          <w:rFonts w:ascii="Times New Roman" w:eastAsia="標楷體" w:hAnsi="Times New Roman" w:cs="Times New Roman"/>
          <w:lang w:eastAsia="zh-TW"/>
        </w:rPr>
        <w:t>與分析架構</w:t>
      </w:r>
    </w:p>
    <w:p w14:paraId="1A28FB7A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問卷應涵蓋業者基本資料、工具導入及使用時間、使用功能與頻率、工具及輔導滿意度、持續使用情形、停止使用原因、操作障礙、應用效益、推薦意願及改善建議。</w:t>
      </w:r>
    </w:p>
    <w:p w14:paraId="31444A58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</w:rPr>
        <w:t>分析參考</w:t>
      </w:r>
      <w:r>
        <w:rPr>
          <w:rFonts w:eastAsia="標楷體" w:cs="Times New Roman"/>
          <w:sz w:val="24"/>
          <w:szCs w:val="24"/>
        </w:rPr>
        <w:t>AARRR</w:t>
      </w:r>
      <w:r>
        <w:rPr>
          <w:rFonts w:eastAsia="標楷體" w:cs="Times New Roman"/>
          <w:sz w:val="24"/>
          <w:szCs w:val="24"/>
        </w:rPr>
        <w:t>架構，包括使用者取得（</w:t>
      </w:r>
      <w:r>
        <w:rPr>
          <w:rFonts w:eastAsia="標楷體" w:cs="Times New Roman"/>
          <w:sz w:val="24"/>
          <w:szCs w:val="24"/>
        </w:rPr>
        <w:t>Acquisition</w:t>
      </w:r>
      <w:r>
        <w:rPr>
          <w:rFonts w:eastAsia="標楷體" w:cs="Times New Roman"/>
          <w:sz w:val="24"/>
          <w:szCs w:val="24"/>
        </w:rPr>
        <w:t>）、啟用（</w:t>
      </w:r>
      <w:r>
        <w:rPr>
          <w:rFonts w:eastAsia="標楷體" w:cs="Times New Roman"/>
          <w:sz w:val="24"/>
          <w:szCs w:val="24"/>
        </w:rPr>
        <w:t>Activation</w:t>
      </w:r>
      <w:r>
        <w:rPr>
          <w:rFonts w:eastAsia="標楷體" w:cs="Times New Roman"/>
          <w:sz w:val="24"/>
          <w:szCs w:val="24"/>
        </w:rPr>
        <w:t>）、持續使用（</w:t>
      </w:r>
      <w:r>
        <w:rPr>
          <w:rFonts w:eastAsia="標楷體" w:cs="Times New Roman"/>
          <w:sz w:val="24"/>
          <w:szCs w:val="24"/>
        </w:rPr>
        <w:t>Retention</w:t>
      </w:r>
      <w:r>
        <w:rPr>
          <w:rFonts w:eastAsia="標楷體" w:cs="Times New Roman"/>
          <w:sz w:val="24"/>
          <w:szCs w:val="24"/>
        </w:rPr>
        <w:t>）、推薦（</w:t>
      </w:r>
      <w:r>
        <w:rPr>
          <w:rFonts w:eastAsia="標楷體" w:cs="Times New Roman"/>
          <w:sz w:val="24"/>
          <w:szCs w:val="24"/>
        </w:rPr>
        <w:t>Referral</w:t>
      </w:r>
      <w:r>
        <w:rPr>
          <w:rFonts w:eastAsia="標楷體" w:cs="Times New Roman"/>
          <w:sz w:val="24"/>
          <w:szCs w:val="24"/>
        </w:rPr>
        <w:t>）及收益（</w:t>
      </w:r>
      <w:r>
        <w:rPr>
          <w:rFonts w:eastAsia="標楷體" w:cs="Times New Roman"/>
          <w:sz w:val="24"/>
          <w:szCs w:val="24"/>
        </w:rPr>
        <w:t>Revenue</w:t>
      </w:r>
      <w:r>
        <w:rPr>
          <w:rFonts w:eastAsia="標楷體" w:cs="Times New Roman"/>
          <w:sz w:val="24"/>
          <w:szCs w:val="24"/>
        </w:rPr>
        <w:t>），依本案工具特性規劃對應題項，整理接觸與導入情形、首次使用、後續使用、推薦意願及收益相關資料，並另行分析使用滿意度。</w:t>
      </w:r>
      <w:r>
        <w:rPr>
          <w:rFonts w:eastAsia="標楷體" w:cs="Times New Roman"/>
          <w:sz w:val="24"/>
          <w:szCs w:val="24"/>
          <w:lang w:eastAsia="zh-TW"/>
        </w:rPr>
        <w:t>收益構面應區分工具付費意願與業者自陳之營運效益，不以主觀感受直接認定實際營收增加。</w:t>
      </w:r>
    </w:p>
    <w:p w14:paraId="23E4CF56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依實際有效資料比較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不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同業態、使用功能及使用狀態之差異，並說明各項分析之樣本數、資料來源與限制。問卷未涵蓋或缺乏可核對資料之指標，應註明限制，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不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逕行推估。</w:t>
      </w:r>
    </w:p>
    <w:p w14:paraId="1BF2E704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（五）進度回報與問題彙整</w:t>
      </w:r>
    </w:p>
    <w:p w14:paraId="509556F3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廠商應定期回報名單接收、訪問安排、問卷回收及未完成原因。調查中發現之工具使用或系統問題，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應彙整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回報本院，供後續處理及工具改善參考。</w:t>
      </w:r>
    </w:p>
    <w:p w14:paraId="0C358198" w14:textId="77777777" w:rsidR="001E676B" w:rsidRDefault="00000000">
      <w:pPr>
        <w:pStyle w:val="1"/>
        <w:spacing w:before="18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lastRenderedPageBreak/>
        <w:t>四、執行期程與驗收方式</w:t>
      </w:r>
    </w:p>
    <w:p w14:paraId="7BB96B79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（一）整體期程</w:t>
      </w:r>
    </w:p>
    <w:p w14:paraId="135CF732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自決標日起辦理問卷及調查準備，訪問期間以</w:t>
      </w:r>
      <w:r>
        <w:rPr>
          <w:rFonts w:eastAsia="標楷體" w:cs="Times New Roman"/>
          <w:sz w:val="24"/>
          <w:szCs w:val="24"/>
          <w:lang w:eastAsia="zh-TW"/>
        </w:rPr>
        <w:t>115</w:t>
      </w:r>
      <w:r>
        <w:rPr>
          <w:rFonts w:eastAsia="標楷體" w:cs="Times New Roman"/>
          <w:sz w:val="24"/>
          <w:szCs w:val="24"/>
          <w:lang w:eastAsia="zh-TW"/>
        </w:rPr>
        <w:t>年</w:t>
      </w:r>
      <w:r>
        <w:rPr>
          <w:rFonts w:eastAsia="標楷體" w:cs="Times New Roman"/>
          <w:sz w:val="24"/>
          <w:szCs w:val="24"/>
          <w:lang w:eastAsia="zh-TW"/>
        </w:rPr>
        <w:t>11</w:t>
      </w:r>
      <w:r>
        <w:rPr>
          <w:rFonts w:eastAsia="標楷體" w:cs="Times New Roman"/>
          <w:sz w:val="24"/>
          <w:szCs w:val="24"/>
          <w:lang w:eastAsia="zh-TW"/>
        </w:rPr>
        <w:t>月為主，依業者使用滿一個月之時間及名單交付進度分批執行，必要時延至</w:t>
      </w:r>
      <w:r>
        <w:rPr>
          <w:rFonts w:eastAsia="標楷體" w:cs="Times New Roman"/>
          <w:sz w:val="24"/>
          <w:szCs w:val="24"/>
          <w:lang w:eastAsia="zh-TW"/>
        </w:rPr>
        <w:t>12</w:t>
      </w:r>
      <w:r>
        <w:rPr>
          <w:rFonts w:eastAsia="標楷體" w:cs="Times New Roman"/>
          <w:sz w:val="24"/>
          <w:szCs w:val="24"/>
          <w:lang w:eastAsia="zh-TW"/>
        </w:rPr>
        <w:t>月初。提前符合追蹤條件之業者，得經本院確認後提前訪問。調查資料於</w:t>
      </w:r>
      <w:r>
        <w:rPr>
          <w:rFonts w:eastAsia="標楷體" w:cs="Times New Roman"/>
          <w:sz w:val="24"/>
          <w:szCs w:val="24"/>
          <w:lang w:eastAsia="zh-TW"/>
        </w:rPr>
        <w:t>115</w:t>
      </w:r>
      <w:r>
        <w:rPr>
          <w:rFonts w:eastAsia="標楷體" w:cs="Times New Roman"/>
          <w:sz w:val="24"/>
          <w:szCs w:val="24"/>
          <w:lang w:eastAsia="zh-TW"/>
        </w:rPr>
        <w:t>年</w:t>
      </w:r>
      <w:r>
        <w:rPr>
          <w:rFonts w:eastAsia="標楷體" w:cs="Times New Roman"/>
          <w:sz w:val="24"/>
          <w:szCs w:val="24"/>
          <w:lang w:eastAsia="zh-TW"/>
        </w:rPr>
        <w:t>12</w:t>
      </w:r>
      <w:r>
        <w:rPr>
          <w:rFonts w:eastAsia="標楷體" w:cs="Times New Roman"/>
          <w:sz w:val="24"/>
          <w:szCs w:val="24"/>
          <w:lang w:eastAsia="zh-TW"/>
        </w:rPr>
        <w:t>月初交付，成果報告及簡報於</w:t>
      </w:r>
      <w:r>
        <w:rPr>
          <w:rFonts w:eastAsia="標楷體" w:cs="Times New Roman"/>
          <w:sz w:val="24"/>
          <w:szCs w:val="24"/>
          <w:lang w:eastAsia="zh-TW"/>
        </w:rPr>
        <w:t>115</w:t>
      </w:r>
      <w:r>
        <w:rPr>
          <w:rFonts w:eastAsia="標楷體" w:cs="Times New Roman"/>
          <w:sz w:val="24"/>
          <w:szCs w:val="24"/>
          <w:lang w:eastAsia="zh-TW"/>
        </w:rPr>
        <w:t>年</w:t>
      </w:r>
      <w:r>
        <w:rPr>
          <w:rFonts w:eastAsia="標楷體" w:cs="Times New Roman"/>
          <w:sz w:val="24"/>
          <w:szCs w:val="24"/>
          <w:lang w:eastAsia="zh-TW"/>
        </w:rPr>
        <w:t>12</w:t>
      </w:r>
      <w:r>
        <w:rPr>
          <w:rFonts w:eastAsia="標楷體" w:cs="Times New Roman"/>
          <w:sz w:val="24"/>
          <w:szCs w:val="24"/>
          <w:lang w:eastAsia="zh-TW"/>
        </w:rPr>
        <w:t>月中旬交付，實際日期由雙方於啟動時確認。</w:t>
      </w:r>
    </w:p>
    <w:p w14:paraId="708404EA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（</w:t>
      </w:r>
      <w:proofErr w:type="spellStart"/>
      <w:r>
        <w:rPr>
          <w:rFonts w:ascii="Times New Roman" w:eastAsia="標楷體" w:hAnsi="Times New Roman" w:cs="Times New Roman"/>
        </w:rPr>
        <w:t>二）成果交付說明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53"/>
        <w:gridCol w:w="1740"/>
        <w:gridCol w:w="5350"/>
      </w:tblGrid>
      <w:tr w:rsidR="001E676B" w14:paraId="16DBE3ED" w14:textId="77777777">
        <w:trPr>
          <w:cantSplit/>
          <w:tblHeader/>
        </w:trPr>
        <w:tc>
          <w:tcPr>
            <w:tcW w:w="14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13BD775A" w14:textId="77777777" w:rsidR="001E676B" w:rsidRDefault="00000000">
            <w:pPr>
              <w:spacing w:after="0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/>
                <w:b/>
                <w:bCs/>
                <w:sz w:val="24"/>
                <w:szCs w:val="24"/>
                <w:lang w:eastAsia="zh-CN" w:bidi="ar"/>
              </w:rPr>
              <w:t>工作項目</w:t>
            </w:r>
          </w:p>
        </w:tc>
        <w:tc>
          <w:tcPr>
            <w:tcW w:w="17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698725D" w14:textId="77777777" w:rsidR="001E676B" w:rsidRDefault="00000000">
            <w:pPr>
              <w:spacing w:after="0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/>
                <w:b/>
                <w:bCs/>
                <w:sz w:val="24"/>
                <w:szCs w:val="24"/>
                <w:lang w:eastAsia="zh-CN" w:bidi="ar"/>
              </w:rPr>
              <w:t>時程</w:t>
            </w:r>
          </w:p>
        </w:tc>
        <w:tc>
          <w:tcPr>
            <w:tcW w:w="535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1683C3F" w14:textId="77777777" w:rsidR="001E676B" w:rsidRDefault="00000000">
            <w:pPr>
              <w:spacing w:after="0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/>
                <w:b/>
                <w:bCs/>
                <w:sz w:val="24"/>
                <w:szCs w:val="24"/>
                <w:lang w:eastAsia="zh-CN" w:bidi="ar"/>
              </w:rPr>
              <w:t>交付內容</w:t>
            </w:r>
          </w:p>
        </w:tc>
      </w:tr>
      <w:tr w:rsidR="001E676B" w14:paraId="0CA5CC8E" w14:textId="77777777">
        <w:trPr>
          <w:cantSplit/>
        </w:trPr>
        <w:tc>
          <w:tcPr>
            <w:tcW w:w="14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CC3C6EE" w14:textId="77777777" w:rsidR="001E676B" w:rsidRDefault="00000000">
            <w:pPr>
              <w:spacing w:after="0"/>
              <w:rPr>
                <w:rFonts w:eastAsia="標楷體" w:cs="Times New Roman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調查準備</w:t>
            </w:r>
          </w:p>
        </w:tc>
        <w:tc>
          <w:tcPr>
            <w:tcW w:w="17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DB3508B" w14:textId="77777777" w:rsidR="001E676B" w:rsidRDefault="00000000">
            <w:pPr>
              <w:spacing w:after="0"/>
              <w:rPr>
                <w:rFonts w:eastAsia="標楷體" w:cs="Times New Roman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正式訪問前完成</w:t>
            </w:r>
          </w:p>
        </w:tc>
        <w:tc>
          <w:tcPr>
            <w:tcW w:w="535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325CFE7" w14:textId="77777777" w:rsidR="001E676B" w:rsidRDefault="00000000">
            <w:pPr>
              <w:spacing w:after="0"/>
              <w:rPr>
                <w:rFonts w:eastAsia="標楷體" w:cs="Times New Roman"/>
                <w:lang w:eastAsia="zh-TW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問卷、訪問流程、名單處理與訪問安排、有效問卷判準及品質管理方式。</w:t>
            </w:r>
          </w:p>
        </w:tc>
      </w:tr>
      <w:tr w:rsidR="001E676B" w14:paraId="387CD0E7" w14:textId="77777777">
        <w:trPr>
          <w:cantSplit/>
        </w:trPr>
        <w:tc>
          <w:tcPr>
            <w:tcW w:w="14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FA50BF9" w14:textId="77777777" w:rsidR="001E676B" w:rsidRDefault="00000000">
            <w:pPr>
              <w:spacing w:after="0"/>
              <w:rPr>
                <w:rFonts w:eastAsia="標楷體" w:cs="Times New Roman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後測調查與資料交付</w:t>
            </w:r>
          </w:p>
        </w:tc>
        <w:tc>
          <w:tcPr>
            <w:tcW w:w="17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9C925A1" w14:textId="77777777" w:rsidR="001E676B" w:rsidRDefault="00000000">
            <w:pPr>
              <w:spacing w:after="0"/>
              <w:rPr>
                <w:rFonts w:eastAsia="標楷體" w:cs="Times New Roman"/>
                <w:lang w:eastAsia="zh-TW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115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年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11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月執行，必要時延至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12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月初；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12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月初交付資料</w:t>
            </w:r>
          </w:p>
        </w:tc>
        <w:tc>
          <w:tcPr>
            <w:tcW w:w="535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4B5409F" w14:textId="77777777" w:rsidR="001E676B" w:rsidRDefault="00000000">
            <w:pPr>
              <w:spacing w:after="0"/>
              <w:rPr>
                <w:rFonts w:eastAsia="標楷體" w:cs="Times New Roman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名單處理與聯繫紀錄、問卷回收及未完成</w:t>
            </w:r>
            <w:r>
              <w:rPr>
                <w:rFonts w:eastAsia="標楷體" w:cs="Times New Roman" w:hint="eastAsia"/>
                <w:sz w:val="24"/>
                <w:szCs w:val="24"/>
                <w:lang w:eastAsia="zh-TW" w:bidi="ar"/>
              </w:rPr>
              <w:t>對象的接觸記錄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、有效問卷原始資料、清理後資料與編碼說明。資料提供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Excel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及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SPSS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格式</w:t>
            </w:r>
            <w:r>
              <w:rPr>
                <w:rFonts w:eastAsia="標楷體" w:cs="Times New Roman" w:hint="eastAsia"/>
                <w:sz w:val="24"/>
                <w:szCs w:val="24"/>
                <w:lang w:eastAsia="zh-TW" w:bidi="ar"/>
              </w:rPr>
              <w:t>，分析報表則以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Excel</w:t>
            </w:r>
            <w:r>
              <w:rPr>
                <w:rFonts w:eastAsia="標楷體" w:cs="Times New Roman" w:hint="eastAsia"/>
                <w:sz w:val="24"/>
                <w:szCs w:val="24"/>
                <w:lang w:eastAsia="zh-TW" w:bidi="ar"/>
              </w:rPr>
              <w:t>格式交付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。</w:t>
            </w:r>
          </w:p>
        </w:tc>
      </w:tr>
      <w:tr w:rsidR="001E676B" w14:paraId="0789091A" w14:textId="77777777">
        <w:trPr>
          <w:cantSplit/>
        </w:trPr>
        <w:tc>
          <w:tcPr>
            <w:tcW w:w="14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7671027" w14:textId="77777777" w:rsidR="001E676B" w:rsidRDefault="00000000">
            <w:pPr>
              <w:spacing w:after="0"/>
              <w:rPr>
                <w:rFonts w:eastAsia="標楷體" w:cs="Times New Roman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期末成果</w:t>
            </w:r>
          </w:p>
        </w:tc>
        <w:tc>
          <w:tcPr>
            <w:tcW w:w="17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7E360AA" w14:textId="77777777" w:rsidR="001E676B" w:rsidRDefault="00000000">
            <w:pPr>
              <w:spacing w:after="0"/>
              <w:rPr>
                <w:rFonts w:eastAsia="標楷體" w:cs="Times New Roman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115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年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12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月中旬</w:t>
            </w:r>
          </w:p>
        </w:tc>
        <w:tc>
          <w:tcPr>
            <w:tcW w:w="535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90031F3" w14:textId="77777777" w:rsidR="001E676B" w:rsidRDefault="00000000">
            <w:pPr>
              <w:spacing w:after="0"/>
              <w:rPr>
                <w:rFonts w:eastAsia="標楷體" w:cs="Times New Roman"/>
                <w:lang w:eastAsia="zh-TW"/>
              </w:rPr>
            </w:pP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工具使用滿意度與成效分析報告、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AARRR</w:t>
            </w:r>
            <w:r>
              <w:rPr>
                <w:rFonts w:eastAsia="標楷體" w:cs="Times New Roman"/>
                <w:sz w:val="24"/>
                <w:szCs w:val="24"/>
                <w:lang w:eastAsia="zh-CN" w:bidi="ar"/>
              </w:rPr>
              <w:t>架構分析、改善建議及成果簡報。</w:t>
            </w:r>
          </w:p>
        </w:tc>
      </w:tr>
    </w:tbl>
    <w:p w14:paraId="2F2EEB69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（三）驗收原則</w:t>
      </w:r>
    </w:p>
    <w:p w14:paraId="3609E121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依本院實際提供之調查母體名單、聯繫紀錄、問卷回收與檢核結果、未完成原因及成果文件驗收。預估母體名單規模為</w:t>
      </w:r>
      <w:r>
        <w:rPr>
          <w:rFonts w:eastAsia="標楷體" w:cs="Times New Roman"/>
          <w:sz w:val="24"/>
          <w:szCs w:val="24"/>
          <w:lang w:eastAsia="zh-TW"/>
        </w:rPr>
        <w:t>950</w:t>
      </w:r>
      <w:r>
        <w:rPr>
          <w:rFonts w:eastAsia="標楷體" w:cs="Times New Roman"/>
          <w:sz w:val="24"/>
          <w:szCs w:val="24"/>
          <w:lang w:eastAsia="zh-TW"/>
        </w:rPr>
        <w:t>個，以有效問卷回收率</w:t>
      </w:r>
      <w:r>
        <w:rPr>
          <w:rFonts w:eastAsia="標楷體" w:cs="Times New Roman"/>
          <w:sz w:val="24"/>
          <w:szCs w:val="24"/>
          <w:lang w:eastAsia="zh-TW"/>
        </w:rPr>
        <w:t>50</w:t>
      </w:r>
      <w:r>
        <w:rPr>
          <w:rFonts w:eastAsia="標楷體" w:cs="Times New Roman"/>
          <w:sz w:val="24"/>
          <w:szCs w:val="24"/>
          <w:lang w:eastAsia="zh-TW"/>
        </w:rPr>
        <w:t>％、</w:t>
      </w:r>
      <w:r>
        <w:rPr>
          <w:rFonts w:eastAsia="標楷體" w:cs="Times New Roman"/>
          <w:sz w:val="24"/>
          <w:szCs w:val="24"/>
          <w:lang w:eastAsia="zh-TW"/>
        </w:rPr>
        <w:t>475</w:t>
      </w:r>
      <w:r>
        <w:rPr>
          <w:rFonts w:eastAsia="標楷體" w:cs="Times New Roman"/>
          <w:sz w:val="24"/>
          <w:szCs w:val="24"/>
          <w:lang w:eastAsia="zh-TW"/>
        </w:rPr>
        <w:t>份為目標。廠商應逐一安排追蹤及調查，並交付實際完成訪問之樣本數、有效問卷數及回收率。</w:t>
      </w:r>
    </w:p>
    <w:p w14:paraId="340E7B7E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惟因實際名單狀況或受訪意願等因素未達回收目標者，廠商應提出未完成原因、聯繫紀錄及相關佐證。未完成訪問之對象，應於不同日期及時段累計聯繫至少</w:t>
      </w:r>
      <w:r>
        <w:rPr>
          <w:rFonts w:eastAsia="標楷體" w:cs="Times New Roman"/>
          <w:sz w:val="24"/>
          <w:szCs w:val="24"/>
          <w:lang w:eastAsia="zh-TW"/>
        </w:rPr>
        <w:t>3</w:t>
      </w:r>
      <w:r>
        <w:rPr>
          <w:rFonts w:eastAsia="標楷體" w:cs="Times New Roman"/>
          <w:sz w:val="24"/>
          <w:szCs w:val="24"/>
          <w:lang w:eastAsia="zh-TW"/>
        </w:rPr>
        <w:t>次，並保留每次聯繫時間及結果；已明確拒訪、確認停業或聯絡資料失效者，應記錄具體原因及處理情形，供本院審查確認。</w:t>
      </w:r>
    </w:p>
    <w:p w14:paraId="2AA455B6" w14:textId="77777777" w:rsidR="001E676B" w:rsidRDefault="001E676B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</w:p>
    <w:p w14:paraId="7D78DEC9" w14:textId="77777777" w:rsidR="001E676B" w:rsidRDefault="001E676B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</w:p>
    <w:p w14:paraId="2107C3A7" w14:textId="77777777" w:rsidR="001E676B" w:rsidRDefault="001E676B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</w:p>
    <w:p w14:paraId="41E9903F" w14:textId="77777777" w:rsidR="001E676B" w:rsidRDefault="00000000">
      <w:pPr>
        <w:pStyle w:val="1"/>
        <w:spacing w:before="18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lastRenderedPageBreak/>
        <w:t>五、撥款方式及注意事項</w:t>
      </w:r>
    </w:p>
    <w:p w14:paraId="384F8BAA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</w:rPr>
      </w:pPr>
      <w:proofErr w:type="spellStart"/>
      <w:r>
        <w:rPr>
          <w:rFonts w:eastAsia="標楷體" w:cs="Times New Roman"/>
          <w:sz w:val="24"/>
          <w:szCs w:val="24"/>
        </w:rPr>
        <w:t>本案款項分兩期撥付</w:t>
      </w:r>
      <w:proofErr w:type="spellEnd"/>
      <w:r>
        <w:rPr>
          <w:rFonts w:eastAsia="標楷體" w:cs="Times New Roman"/>
          <w:sz w:val="24"/>
          <w:szCs w:val="24"/>
        </w:rPr>
        <w:t>：</w:t>
      </w:r>
    </w:p>
    <w:p w14:paraId="5EADDD3C" w14:textId="77777777" w:rsidR="001E676B" w:rsidRDefault="00000000">
      <w:pPr>
        <w:numPr>
          <w:ilvl w:val="0"/>
          <w:numId w:val="7"/>
        </w:numPr>
        <w:spacing w:before="60" w:after="120" w:line="360" w:lineRule="auto"/>
        <w:ind w:leftChars="200" w:left="1156" w:hangingChars="290" w:hanging="696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第一期款：廠商提送服務建議書，經本院審查確認後，撥付契約總價之</w:t>
      </w:r>
      <w:r>
        <w:rPr>
          <w:rFonts w:eastAsia="標楷體" w:cs="Times New Roman"/>
          <w:sz w:val="24"/>
          <w:szCs w:val="24"/>
          <w:lang w:eastAsia="zh-TW"/>
        </w:rPr>
        <w:t>40</w:t>
      </w:r>
      <w:r>
        <w:rPr>
          <w:rFonts w:eastAsia="標楷體" w:cs="Times New Roman"/>
          <w:sz w:val="24"/>
          <w:szCs w:val="24"/>
          <w:lang w:eastAsia="zh-TW"/>
        </w:rPr>
        <w:t>％。</w:t>
      </w:r>
    </w:p>
    <w:p w14:paraId="4F0D36E4" w14:textId="77777777" w:rsidR="001E676B" w:rsidRDefault="00000000">
      <w:pPr>
        <w:numPr>
          <w:ilvl w:val="0"/>
          <w:numId w:val="7"/>
        </w:numPr>
        <w:spacing w:before="60" w:after="120" w:line="360" w:lineRule="auto"/>
        <w:ind w:leftChars="200" w:left="1156" w:hangingChars="290" w:hanging="696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第二期款：廠商完成契約約定之調查工作，並提送調查資料、成果報告、簡報及相關紀錄，經本院期末驗收合格後，撥付契約總價之</w:t>
      </w:r>
      <w:r>
        <w:rPr>
          <w:rFonts w:eastAsia="標楷體" w:cs="Times New Roman"/>
          <w:sz w:val="24"/>
          <w:szCs w:val="24"/>
          <w:lang w:eastAsia="zh-TW"/>
        </w:rPr>
        <w:t>60</w:t>
      </w:r>
      <w:r>
        <w:rPr>
          <w:rFonts w:eastAsia="標楷體" w:cs="Times New Roman"/>
          <w:sz w:val="24"/>
          <w:szCs w:val="24"/>
          <w:lang w:eastAsia="zh-TW"/>
        </w:rPr>
        <w:t>％。</w:t>
      </w:r>
    </w:p>
    <w:p w14:paraId="48FF987A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服務建議書應包含問卷規劃、調查方式、名單處理、訪問安排、人力配置、品質管理、分析架構、執行時程及經費配置。</w:t>
      </w:r>
    </w:p>
    <w:p w14:paraId="10895D62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本院依執行進度分批提供調查名單、可取得之工具使用時間及相關資訊。若名單交付、聯絡資料品質或業者使用時間影響訪問安排及交付期程，雙方應確認調整方式；尚未符合使用滿一個月條件</w:t>
      </w:r>
      <w:r>
        <w:rPr>
          <w:rFonts w:eastAsia="標楷體" w:cs="Times New Roman" w:hint="eastAsia"/>
          <w:sz w:val="24"/>
          <w:szCs w:val="24"/>
          <w:lang w:eastAsia="zh-TW"/>
        </w:rPr>
        <w:t>之業</w:t>
      </w:r>
      <w:r>
        <w:rPr>
          <w:rFonts w:eastAsia="標楷體" w:cs="Times New Roman"/>
          <w:sz w:val="24"/>
          <w:szCs w:val="24"/>
          <w:lang w:eastAsia="zh-TW"/>
        </w:rPr>
        <w:t>者，應另行確認追蹤及處理安排。</w:t>
      </w:r>
    </w:p>
    <w:p w14:paraId="00D04302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執行廠商應配合本院於約定範圍內之合理調整。若涉及名單數量、工作內容、執行期間或費用增減，應由雙方另行確認調整內容與契約處理方式。</w:t>
      </w:r>
    </w:p>
    <w:p w14:paraId="50A7655D" w14:textId="77777777" w:rsidR="001E676B" w:rsidRDefault="00000000">
      <w:pPr>
        <w:pStyle w:val="1"/>
        <w:spacing w:before="18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>六、工作說明及成果報告格式</w:t>
      </w:r>
    </w:p>
    <w:p w14:paraId="40E87F1F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（一）文件內容</w:t>
      </w:r>
    </w:p>
    <w:p w14:paraId="3261A181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工作說明及規劃應說明本案執行方法、流程、人力、時程與經費配置，並提供相關實績。成果報告應呈現調查範圍、母體及回收情形、有效問卷檢核、使用滿意度、應用成效、分析限制及改善建議，並配合本院於約定範圍內補充或修正。</w:t>
      </w:r>
    </w:p>
    <w:p w14:paraId="667D9226" w14:textId="77777777" w:rsidR="001E676B" w:rsidRDefault="00000000">
      <w:pPr>
        <w:pStyle w:val="21"/>
        <w:spacing w:before="60" w:after="12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/>
          <w:lang w:eastAsia="zh-TW"/>
        </w:rPr>
        <w:t>（二）文件格式</w:t>
      </w:r>
    </w:p>
    <w:p w14:paraId="7A5CB629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</w:rPr>
      </w:pPr>
      <w:r>
        <w:rPr>
          <w:rFonts w:eastAsia="標楷體" w:cs="Times New Roman"/>
          <w:sz w:val="24"/>
          <w:szCs w:val="24"/>
          <w:lang w:eastAsia="zh-TW"/>
        </w:rPr>
        <w:t>工作說明及成果報告以</w:t>
      </w:r>
      <w:r>
        <w:rPr>
          <w:rFonts w:eastAsia="標楷體" w:cs="Times New Roman"/>
          <w:sz w:val="24"/>
          <w:szCs w:val="24"/>
          <w:lang w:eastAsia="zh-TW"/>
        </w:rPr>
        <w:t>A4</w:t>
      </w:r>
      <w:r>
        <w:rPr>
          <w:rFonts w:eastAsia="標楷體" w:cs="Times New Roman"/>
          <w:sz w:val="24"/>
          <w:szCs w:val="24"/>
          <w:lang w:eastAsia="zh-TW"/>
        </w:rPr>
        <w:t>紙張編製，編列頁碼。中文字型以標楷體、英文字型以</w:t>
      </w:r>
      <w:r>
        <w:rPr>
          <w:rFonts w:eastAsia="標楷體" w:cs="Times New Roman"/>
          <w:sz w:val="24"/>
          <w:szCs w:val="24"/>
          <w:lang w:eastAsia="zh-TW"/>
        </w:rPr>
        <w:t>Times New Roman</w:t>
      </w:r>
      <w:r>
        <w:rPr>
          <w:rFonts w:eastAsia="標楷體" w:cs="Times New Roman"/>
          <w:sz w:val="24"/>
          <w:szCs w:val="24"/>
          <w:lang w:eastAsia="zh-TW"/>
        </w:rPr>
        <w:t>為原則，建議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採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14</w:t>
      </w:r>
      <w:r>
        <w:rPr>
          <w:rFonts w:eastAsia="標楷體" w:cs="Times New Roman"/>
          <w:sz w:val="24"/>
          <w:szCs w:val="24"/>
          <w:lang w:eastAsia="zh-TW"/>
        </w:rPr>
        <w:t>號字、</w:t>
      </w:r>
      <w:r>
        <w:rPr>
          <w:rFonts w:eastAsia="標楷體" w:cs="Times New Roman"/>
          <w:sz w:val="24"/>
          <w:szCs w:val="24"/>
          <w:lang w:eastAsia="zh-TW"/>
        </w:rPr>
        <w:t>1.5</w:t>
      </w:r>
      <w:r>
        <w:rPr>
          <w:rFonts w:eastAsia="標楷體" w:cs="Times New Roman"/>
          <w:sz w:val="24"/>
          <w:szCs w:val="24"/>
          <w:lang w:eastAsia="zh-TW"/>
        </w:rPr>
        <w:t>倍行高及前後段行距</w:t>
      </w:r>
      <w:r>
        <w:rPr>
          <w:rFonts w:eastAsia="標楷體" w:cs="Times New Roman"/>
          <w:sz w:val="24"/>
          <w:szCs w:val="24"/>
          <w:lang w:eastAsia="zh-TW"/>
        </w:rPr>
        <w:t>0.5</w:t>
      </w:r>
      <w:r>
        <w:rPr>
          <w:rFonts w:eastAsia="標楷體" w:cs="Times New Roman"/>
          <w:sz w:val="24"/>
          <w:szCs w:val="24"/>
          <w:lang w:eastAsia="zh-TW"/>
        </w:rPr>
        <w:t>行；表格、圖表及附錄得依內容調整。文件封面應</w:t>
      </w:r>
      <w:proofErr w:type="gramStart"/>
      <w:r>
        <w:rPr>
          <w:rFonts w:eastAsia="標楷體" w:cs="Times New Roman"/>
          <w:sz w:val="24"/>
          <w:szCs w:val="24"/>
          <w:lang w:eastAsia="zh-TW"/>
        </w:rPr>
        <w:t>載明本案</w:t>
      </w:r>
      <w:proofErr w:type="gramEnd"/>
      <w:r>
        <w:rPr>
          <w:rFonts w:eastAsia="標楷體" w:cs="Times New Roman"/>
          <w:sz w:val="24"/>
          <w:szCs w:val="24"/>
          <w:lang w:eastAsia="zh-TW"/>
        </w:rPr>
        <w:t>名稱、文件名稱、廠商名稱及提送日期。</w:t>
      </w:r>
      <w:proofErr w:type="spellStart"/>
      <w:r>
        <w:rPr>
          <w:rFonts w:eastAsia="標楷體" w:cs="Times New Roman"/>
          <w:sz w:val="24"/>
          <w:szCs w:val="24"/>
        </w:rPr>
        <w:t>簡報得採橫式編排</w:t>
      </w:r>
      <w:proofErr w:type="spellEnd"/>
      <w:r>
        <w:rPr>
          <w:rFonts w:eastAsia="標楷體" w:cs="Times New Roman"/>
          <w:sz w:val="24"/>
          <w:szCs w:val="24"/>
        </w:rPr>
        <w:t>。</w:t>
      </w:r>
    </w:p>
    <w:p w14:paraId="51C5347C" w14:textId="77777777" w:rsidR="001E676B" w:rsidRDefault="00000000">
      <w:pPr>
        <w:pStyle w:val="1"/>
        <w:spacing w:before="180" w:line="360" w:lineRule="auto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>七、著作權與保密</w:t>
      </w:r>
    </w:p>
    <w:p w14:paraId="157B60FA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t>本案執行過程中衍生之智慧財產權歸本院所有，本院得無償使用。廠商使用之圖像、文字及資料應符合著作權相關規定，如有侵權爭議，由廠商負責。</w:t>
      </w:r>
    </w:p>
    <w:p w14:paraId="394407D3" w14:textId="77777777" w:rsidR="001E676B" w:rsidRDefault="00000000">
      <w:pPr>
        <w:spacing w:before="60" w:after="120" w:line="360" w:lineRule="auto"/>
        <w:ind w:firstLineChars="200" w:firstLine="480"/>
        <w:jc w:val="both"/>
        <w:rPr>
          <w:rFonts w:eastAsia="標楷體" w:cs="Times New Roman"/>
          <w:sz w:val="24"/>
          <w:szCs w:val="24"/>
          <w:lang w:eastAsia="zh-TW"/>
        </w:rPr>
      </w:pPr>
      <w:r>
        <w:rPr>
          <w:rFonts w:eastAsia="標楷體" w:cs="Times New Roman"/>
          <w:sz w:val="24"/>
          <w:szCs w:val="24"/>
          <w:lang w:eastAsia="zh-TW"/>
        </w:rPr>
        <w:lastRenderedPageBreak/>
        <w:t>廠商應妥善保管本案業者名單、聯絡資料、使用紀錄及調查資料，不得作為本案以外之用途；涉及個人資料者，應依個人資料保護法相關規定辦理。因侵權、洩密或其他違反相關法令情事造成損失者，依契約及相關規定處理。</w:t>
      </w:r>
    </w:p>
    <w:sectPr w:rsidR="001E676B">
      <w:footerReference w:type="default" r:id="rId8"/>
      <w:pgSz w:w="11906" w:h="16838"/>
      <w:pgMar w:top="1417" w:right="1701" w:bottom="1417" w:left="1701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C591B" w14:textId="77777777" w:rsidR="00791753" w:rsidRDefault="00791753">
      <w:pPr>
        <w:spacing w:line="240" w:lineRule="auto"/>
      </w:pPr>
      <w:r>
        <w:separator/>
      </w:r>
    </w:p>
  </w:endnote>
  <w:endnote w:type="continuationSeparator" w:id="0">
    <w:p w14:paraId="5F58FCFE" w14:textId="77777777" w:rsidR="00791753" w:rsidRDefault="007917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ﾋﾎﾌ・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CJK TC">
    <w:altName w:val="Noto San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1410" w14:textId="77777777" w:rsidR="001E676B" w:rsidRDefault="00000000">
    <w:pPr>
      <w:pStyle w:val="af4"/>
      <w:jc w:val="center"/>
    </w:pPr>
    <w:r>
      <w:fldChar w:fldCharType="begin"/>
    </w:r>
    <w:r>
      <w:instrText>PAGE</w:instrText>
    </w:r>
    <w:r>
      <w:fldChar w:fldCharType="separate"/>
    </w:r>
    <w:r w:rsidR="00EA7F7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18EC7" w14:textId="77777777" w:rsidR="00791753" w:rsidRDefault="00791753">
      <w:pPr>
        <w:spacing w:after="0"/>
      </w:pPr>
      <w:r>
        <w:separator/>
      </w:r>
    </w:p>
  </w:footnote>
  <w:footnote w:type="continuationSeparator" w:id="0">
    <w:p w14:paraId="6196DBF4" w14:textId="77777777" w:rsidR="00791753" w:rsidRDefault="0079175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4A340EC"/>
    <w:multiLevelType w:val="singleLevel"/>
    <w:tmpl w:val="B4A340EC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323701065">
    <w:abstractNumId w:val="3"/>
  </w:num>
  <w:num w:numId="2" w16cid:durableId="1013919146">
    <w:abstractNumId w:val="1"/>
  </w:num>
  <w:num w:numId="3" w16cid:durableId="1586303484">
    <w:abstractNumId w:val="5"/>
  </w:num>
  <w:num w:numId="4" w16cid:durableId="1346401455">
    <w:abstractNumId w:val="4"/>
  </w:num>
  <w:num w:numId="5" w16cid:durableId="1691760200">
    <w:abstractNumId w:val="6"/>
  </w:num>
  <w:num w:numId="6" w16cid:durableId="1156341230">
    <w:abstractNumId w:val="2"/>
  </w:num>
  <w:num w:numId="7" w16cid:durableId="66494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676B"/>
    <w:rsid w:val="002446D9"/>
    <w:rsid w:val="0025698E"/>
    <w:rsid w:val="0029639D"/>
    <w:rsid w:val="00326F90"/>
    <w:rsid w:val="00394C13"/>
    <w:rsid w:val="00791753"/>
    <w:rsid w:val="007F7B5E"/>
    <w:rsid w:val="00914D28"/>
    <w:rsid w:val="00AA1D8D"/>
    <w:rsid w:val="00B47730"/>
    <w:rsid w:val="00CB0664"/>
    <w:rsid w:val="00EA7F75"/>
    <w:rsid w:val="00F2234D"/>
    <w:rsid w:val="00FC693F"/>
    <w:rsid w:val="041B4084"/>
    <w:rsid w:val="07CC63DA"/>
    <w:rsid w:val="26EF6F0F"/>
    <w:rsid w:val="305502D9"/>
    <w:rsid w:val="597437FC"/>
    <w:rsid w:val="68D669B3"/>
    <w:rsid w:val="6FBD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8A380E"/>
  <w14:defaultImageDpi w14:val="300"/>
  <w15:docId w15:val="{ED421707-FCBC-4C52-BB4E-27AB53413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/>
    <w:lsdException w:name="Dark List" w:uiPriority="70" w:qFormat="1"/>
    <w:lsdException w:name="Colorful Shading" w:uiPriority="71" w:qFormat="1"/>
    <w:lsdException w:name="Colorful List" w:uiPriority="72"/>
    <w:lsdException w:name="Colorful Grid" w:uiPriority="73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/>
    <w:lsdException w:name="Colorful Grid Accent 2" w:uiPriority="73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/>
    <w:lsdException w:name="Medium Grid 3 Accent 3" w:uiPriority="69"/>
    <w:lsdException w:name="Dark List Accent 3" w:uiPriority="70" w:qFormat="1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/>
    <w:lsdException w:name="Colorful Grid Accent 5" w:uiPriority="73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/>
    <w:lsdException w:name="Medium Grid 1 Accent 6" w:uiPriority="67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100" w:line="269" w:lineRule="auto"/>
    </w:pPr>
    <w:rPr>
      <w:rFonts w:eastAsia="Noto Sans CJK TC" w:cstheme="minorBidi"/>
      <w:color w:val="000000"/>
      <w:sz w:val="23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Pr>
      <w:i/>
      <w:iCs/>
    </w:rPr>
  </w:style>
  <w:style w:type="character" w:styleId="a6">
    <w:name w:val="Strong"/>
    <w:basedOn w:val="a2"/>
    <w:uiPriority w:val="22"/>
    <w:qFormat/>
    <w:rPr>
      <w:b/>
      <w:bCs/>
    </w:rPr>
  </w:style>
  <w:style w:type="paragraph" w:styleId="30">
    <w:name w:val="List Bullet 3"/>
    <w:basedOn w:val="a1"/>
    <w:uiPriority w:val="99"/>
    <w:unhideWhenUsed/>
    <w:qFormat/>
    <w:pPr>
      <w:numPr>
        <w:numId w:val="1"/>
      </w:numPr>
      <w:contextualSpacing/>
    </w:pPr>
  </w:style>
  <w:style w:type="paragraph" w:styleId="3">
    <w:name w:val="List Number 3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header"/>
    <w:basedOn w:val="a1"/>
    <w:link w:val="a8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3"/>
      </w:numPr>
      <w:contextualSpacing/>
    </w:pPr>
  </w:style>
  <w:style w:type="paragraph" w:styleId="a9">
    <w:name w:val="macro"/>
    <w:link w:val="aa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ab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4"/>
      </w:numPr>
      <w:contextualSpacing/>
    </w:pPr>
  </w:style>
  <w:style w:type="paragraph" w:styleId="ac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a0">
    <w:name w:val="List Bullet"/>
    <w:basedOn w:val="a1"/>
    <w:uiPriority w:val="99"/>
    <w:unhideWhenUsed/>
    <w:qFormat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6"/>
      </w:numPr>
      <w:contextualSpacing/>
    </w:pPr>
  </w:style>
  <w:style w:type="paragraph" w:styleId="ad">
    <w:name w:val="Subtitle"/>
    <w:basedOn w:val="a1"/>
    <w:next w:val="a1"/>
    <w:link w:val="ae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Title"/>
    <w:basedOn w:val="a1"/>
    <w:next w:val="a1"/>
    <w:link w:val="af0"/>
    <w:uiPriority w:val="10"/>
    <w:qFormat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32"/>
      <w:szCs w:val="52"/>
    </w:rPr>
  </w:style>
  <w:style w:type="paragraph" w:styleId="af1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2">
    <w:name w:val="Body Text"/>
    <w:basedOn w:val="a1"/>
    <w:link w:val="af3"/>
    <w:uiPriority w:val="99"/>
    <w:unhideWhenUsed/>
    <w:qFormat/>
    <w:pPr>
      <w:spacing w:after="120"/>
    </w:pPr>
  </w:style>
  <w:style w:type="paragraph" w:styleId="33">
    <w:name w:val="Body Text 3"/>
    <w:basedOn w:val="a1"/>
    <w:link w:val="34"/>
    <w:uiPriority w:val="99"/>
    <w:unhideWhenUsed/>
    <w:qFormat/>
    <w:pPr>
      <w:spacing w:after="120"/>
    </w:pPr>
    <w:rPr>
      <w:sz w:val="16"/>
      <w:szCs w:val="16"/>
    </w:rPr>
  </w:style>
  <w:style w:type="paragraph" w:styleId="af4">
    <w:name w:val="footer"/>
    <w:basedOn w:val="a1"/>
    <w:link w:val="af5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35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Web">
    <w:name w:val="Normal (Web)"/>
    <w:uiPriority w:val="99"/>
    <w:semiHidden/>
    <w:unhideWhenUsed/>
    <w:qFormat/>
    <w:pPr>
      <w:spacing w:beforeAutospacing="1" w:afterAutospacing="1"/>
    </w:pPr>
    <w:rPr>
      <w:lang w:eastAsia="zh-CN"/>
    </w:rPr>
  </w:style>
  <w:style w:type="paragraph" w:styleId="36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table" w:styleId="af6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7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8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9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a">
    <w:name w:val="Dark List"/>
    <w:basedOn w:val="a3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b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c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d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8">
    <w:name w:val="頁首 字元"/>
    <w:basedOn w:val="a2"/>
    <w:link w:val="a7"/>
    <w:uiPriority w:val="99"/>
    <w:qFormat/>
  </w:style>
  <w:style w:type="character" w:customStyle="1" w:styleId="af5">
    <w:name w:val="頁尾 字元"/>
    <w:basedOn w:val="a2"/>
    <w:link w:val="af4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標題 1 字元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標題 字元"/>
    <w:basedOn w:val="a2"/>
    <w:link w:val="af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副標題 字元"/>
    <w:basedOn w:val="a2"/>
    <w:link w:val="ad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f3">
    <w:name w:val="本文 字元"/>
    <w:basedOn w:val="a2"/>
    <w:link w:val="af2"/>
    <w:uiPriority w:val="99"/>
    <w:qFormat/>
  </w:style>
  <w:style w:type="character" w:customStyle="1" w:styleId="25">
    <w:name w:val="本文 2 字元"/>
    <w:basedOn w:val="a2"/>
    <w:link w:val="24"/>
    <w:uiPriority w:val="99"/>
    <w:qFormat/>
  </w:style>
  <w:style w:type="character" w:customStyle="1" w:styleId="34">
    <w:name w:val="本文 3 字元"/>
    <w:basedOn w:val="a2"/>
    <w:link w:val="33"/>
    <w:uiPriority w:val="99"/>
    <w:qFormat/>
    <w:rPr>
      <w:sz w:val="16"/>
      <w:szCs w:val="16"/>
    </w:rPr>
  </w:style>
  <w:style w:type="character" w:customStyle="1" w:styleId="aa">
    <w:name w:val="巨集文字 字元"/>
    <w:basedOn w:val="a2"/>
    <w:link w:val="a9"/>
    <w:uiPriority w:val="99"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文 字元"/>
    <w:basedOn w:val="a2"/>
    <w:link w:val="aff0"/>
    <w:uiPriority w:val="29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標題 6 字元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標題 7 字元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鮮明引文 字元"/>
    <w:basedOn w:val="a2"/>
    <w:link w:val="aff2"/>
    <w:uiPriority w:val="30"/>
    <w:rPr>
      <w:b/>
      <w:bCs/>
      <w:i/>
      <w:iCs/>
      <w:color w:val="4F81BD" w:themeColor="accent1"/>
    </w:rPr>
  </w:style>
  <w:style w:type="character" w:customStyle="1" w:styleId="14">
    <w:name w:val="區別強調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鮮明強調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區別參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鮮明參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書名1"/>
    <w:basedOn w:val="a2"/>
    <w:uiPriority w:val="33"/>
    <w:qFormat/>
    <w:rPr>
      <w:b/>
      <w:bCs/>
      <w:smallCaps/>
      <w:spacing w:val="5"/>
    </w:rPr>
  </w:style>
  <w:style w:type="paragraph" w:customStyle="1" w:styleId="19">
    <w:name w:val="目錄標題1"/>
    <w:basedOn w:val="1"/>
    <w:next w:val="a1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陳淑慧</cp:lastModifiedBy>
  <cp:revision>2</cp:revision>
  <dcterms:created xsi:type="dcterms:W3CDTF">2026-11-02T01:33:00Z</dcterms:created>
  <dcterms:modified xsi:type="dcterms:W3CDTF">2026-11-02T01:33:00Z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eyJoZGlkIjoiY2FmZmJiM2U5NjU3MWIyYjJiNzgyZGFlNmU5ODNkZTMiLCJ1c2VySWQiOiI0Mjk4MTg1MDQzNjkifQ==</vt:lpwstr>
  </property>
  <property fmtid="{D5CDD505-2E9C-101B-9397-08002B2CF9AE}" pid="3" name="KSOProductBuildVer">
    <vt:lpwstr>3076-12.1.0.28485</vt:lpwstr>
  </property>
  <property fmtid="{D5CDD505-2E9C-101B-9397-08002B2CF9AE}" pid="4" name="ICV">
    <vt:lpwstr>F5A437EDBC08420B88DDA0627DE80F7D_13</vt:lpwstr>
  </property>
</Properties>
</file>