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C5269" w14:textId="77777777" w:rsidR="00E11CA8" w:rsidRPr="00454241" w:rsidRDefault="00000000">
      <w:pPr>
        <w:spacing w:after="60"/>
        <w:jc w:val="center"/>
        <w:rPr>
          <w:lang w:eastAsia="zh-TW"/>
        </w:rPr>
      </w:pPr>
      <w:r w:rsidRPr="00454241">
        <w:rPr>
          <w:b/>
          <w:sz w:val="36"/>
          <w:lang w:eastAsia="zh-TW"/>
        </w:rPr>
        <w:t>採購規範書</w:t>
      </w:r>
    </w:p>
    <w:p w14:paraId="0D32289D" w14:textId="425976C0" w:rsidR="00E11CA8" w:rsidRPr="00454241" w:rsidRDefault="00000000">
      <w:pPr>
        <w:spacing w:after="60"/>
        <w:jc w:val="center"/>
        <w:rPr>
          <w:lang w:eastAsia="zh-TW"/>
        </w:rPr>
      </w:pPr>
      <w:r w:rsidRPr="00454241">
        <w:rPr>
          <w:b/>
          <w:sz w:val="28"/>
          <w:lang w:eastAsia="zh-TW"/>
        </w:rPr>
        <w:t>品名：</w:t>
      </w:r>
      <w:r w:rsidR="00056AD3">
        <w:rPr>
          <w:rFonts w:hint="eastAsia"/>
          <w:b/>
          <w:sz w:val="28"/>
          <w:lang w:eastAsia="zh-TW"/>
        </w:rPr>
        <w:t>急性後期(PAC)</w:t>
      </w:r>
      <w:r w:rsidR="00E40396">
        <w:rPr>
          <w:rFonts w:hint="eastAsia"/>
          <w:b/>
          <w:sz w:val="28"/>
          <w:lang w:eastAsia="zh-TW"/>
        </w:rPr>
        <w:t>居家上肢復健</w:t>
      </w:r>
      <w:r w:rsidRPr="00454241">
        <w:rPr>
          <w:b/>
          <w:sz w:val="28"/>
          <w:lang w:eastAsia="zh-TW"/>
        </w:rPr>
        <w:t>同動車主體及</w:t>
      </w:r>
      <w:r w:rsidR="002B1804" w:rsidRPr="00454241">
        <w:rPr>
          <w:rFonts w:hint="eastAsia"/>
          <w:b/>
          <w:sz w:val="28"/>
          <w:lang w:eastAsia="zh-TW"/>
        </w:rPr>
        <w:t>配套</w:t>
      </w:r>
      <w:r w:rsidRPr="00454241">
        <w:rPr>
          <w:b/>
          <w:sz w:val="28"/>
          <w:lang w:eastAsia="zh-TW"/>
        </w:rPr>
        <w:t>周邊</w:t>
      </w:r>
      <w:r w:rsidR="002B1804" w:rsidRPr="00454241">
        <w:rPr>
          <w:rFonts w:hint="eastAsia"/>
          <w:b/>
          <w:sz w:val="28"/>
          <w:lang w:eastAsia="zh-TW"/>
        </w:rPr>
        <w:t>設計與製作</w:t>
      </w:r>
    </w:p>
    <w:p w14:paraId="584CD7CA" w14:textId="77777777" w:rsidR="00E11CA8" w:rsidRPr="00454241" w:rsidRDefault="00000000">
      <w:pPr>
        <w:pStyle w:val="1"/>
        <w:spacing w:after="60"/>
        <w:rPr>
          <w:rFonts w:ascii="微軟正黑體" w:eastAsia="微軟正黑體" w:hAnsi="微軟正黑體"/>
          <w:color w:val="auto"/>
          <w:lang w:eastAsia="zh-TW"/>
        </w:rPr>
      </w:pPr>
      <w:r w:rsidRPr="00454241">
        <w:rPr>
          <w:rFonts w:ascii="微軟正黑體" w:eastAsia="微軟正黑體" w:hAnsi="微軟正黑體"/>
          <w:color w:val="auto"/>
          <w:sz w:val="21"/>
          <w:lang w:eastAsia="zh-TW"/>
        </w:rPr>
        <w:t>1. 目的／用途說明</w:t>
      </w:r>
    </w:p>
    <w:p w14:paraId="16FF4889" w14:textId="188473B0" w:rsidR="00E11CA8" w:rsidRPr="00454241" w:rsidRDefault="00C402AB">
      <w:pPr>
        <w:pStyle w:val="Compact"/>
        <w:spacing w:after="60"/>
        <w:rPr>
          <w:lang w:eastAsia="zh-TW"/>
        </w:rPr>
      </w:pPr>
      <w:r w:rsidRPr="00C402AB">
        <w:rPr>
          <w:lang w:eastAsia="zh-TW"/>
        </w:rPr>
        <w:t>為滿足急性後期照護（Post-Acute Care, PAC）中風患者上肢居家復健使用需求，針對數位同動訓練系統所需要搭配之同動車機械裝置，進行機構設計、人體工學優化、安全固定、相關機構配件之設計與製作，以利後續與數位系統整合，進行居家復健驗證。</w:t>
      </w:r>
    </w:p>
    <w:p w14:paraId="5A8E75AD" w14:textId="77777777" w:rsidR="00E11CA8" w:rsidRPr="00454241" w:rsidRDefault="00000000">
      <w:pPr>
        <w:pStyle w:val="1"/>
        <w:spacing w:after="60"/>
        <w:rPr>
          <w:rFonts w:ascii="微軟正黑體" w:eastAsia="微軟正黑體" w:hAnsi="微軟正黑體"/>
          <w:color w:val="auto"/>
          <w:lang w:eastAsia="zh-TW"/>
        </w:rPr>
      </w:pPr>
      <w:r w:rsidRPr="00454241">
        <w:rPr>
          <w:rFonts w:ascii="微軟正黑體" w:eastAsia="微軟正黑體" w:hAnsi="微軟正黑體"/>
          <w:color w:val="auto"/>
          <w:sz w:val="21"/>
          <w:lang w:eastAsia="zh-TW"/>
        </w:rPr>
        <w:t>2. 規格／功能需求</w:t>
      </w:r>
    </w:p>
    <w:p w14:paraId="264559BF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A. 人體工學把手</w:t>
      </w:r>
    </w:p>
    <w:p w14:paraId="4D90BD71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應考量中風偏癱患者握力不足或無法持續抓握之情形。</w:t>
      </w:r>
    </w:p>
    <w:p w14:paraId="44C075B6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把手之外型、材質與顏色應可配合既有影像辨識方式，避免影響辨識效果。</w:t>
      </w:r>
    </w:p>
    <w:p w14:paraId="2670A2E8" w14:textId="1A876BDF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 </w:t>
      </w:r>
      <w:r>
        <w:rPr>
          <w:lang w:eastAsia="zh-TW"/>
        </w:rPr>
        <w:t>• 量化設計參考：把手握持直徑以30–40 mm、有效握持長度至少100 mm為初步目標；應提出實際尺寸與適用性說明。</w:t>
      </w:r>
    </w:p>
    <w:p w14:paraId="3E098F65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B. 患側手固定設計</w:t>
      </w:r>
    </w:p>
    <w:p w14:paraId="0FCEEDA9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固定後應穩定且不得造成明顯壓迫，並具快速解除功能。</w:t>
      </w:r>
    </w:p>
    <w:p w14:paraId="10802951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固定帶或接觸材質應柔軟、可清潔，且不明顯限制訓練活動範圍。</w:t>
      </w:r>
    </w:p>
    <w:p w14:paraId="1FBDAF64" w14:textId="3FE6789B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</w:t>
      </w:r>
      <w:r>
        <w:rPr>
          <w:lang w:eastAsia="zh-TW"/>
        </w:rPr>
        <w:t>• 量化設計參考：固定與解除操作各以30秒內完成為目標。</w:t>
      </w:r>
    </w:p>
    <w:p w14:paraId="4AFE5430" w14:textId="03146154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</w:t>
      </w:r>
      <w:r>
        <w:rPr>
          <w:lang w:eastAsia="zh-TW"/>
        </w:rPr>
        <w:t>• 應提供患側手固定組件之適用手部尺寸範圍；並以實際操作確認不致明顯壓迫、滑脫或限制必要活動範圍。</w:t>
      </w:r>
    </w:p>
    <w:p w14:paraId="19F08C82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C. 桌面固定設計</w:t>
      </w:r>
    </w:p>
    <w:p w14:paraId="3C4B0D40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可快速安裝及拆卸，並適用一般醫院及居家常見桌面。</w:t>
      </w:r>
    </w:p>
    <w:p w14:paraId="264828AB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正常訓練施力下不得明顯滑動或位移，且不得破壞桌面。</w:t>
      </w:r>
    </w:p>
    <w:p w14:paraId="394CE87C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固定位置應具止滑或緩衝保護，並降低突出構件造成碰撞之風險。</w:t>
      </w:r>
    </w:p>
    <w:p w14:paraId="567FB802" w14:textId="2C30BC4D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 </w:t>
      </w:r>
      <w:r>
        <w:rPr>
          <w:lang w:eastAsia="zh-TW"/>
        </w:rPr>
        <w:t>• 桌面相容性參考範圍：桌板厚度15–50 mm；依實際桌型選定代表性桌面測試。</w:t>
      </w:r>
    </w:p>
    <w:p w14:paraId="629DF076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D. 安全與活動機構</w:t>
      </w:r>
    </w:p>
    <w:p w14:paraId="601ED913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同動車活動應平順、無明顯卡頓，正常操作下結構穩定。</w:t>
      </w:r>
    </w:p>
    <w:p w14:paraId="1A7A918F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裝置不得有明顯尖角、銳邊或容易造成夾傷之裸露機構。</w:t>
      </w:r>
    </w:p>
    <w:p w14:paraId="6B2EE4C0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可拆卸零件及活動構件應具防鬆脫或適當固定設計。</w:t>
      </w:r>
    </w:p>
    <w:p w14:paraId="010A96BC" w14:textId="77777777" w:rsidR="00BB2ED4" w:rsidRDefault="00000000">
      <w:pPr>
        <w:spacing w:after="60"/>
        <w:rPr>
          <w:lang w:eastAsia="zh-TW"/>
        </w:rPr>
      </w:pPr>
      <w:r>
        <w:rPr>
          <w:lang w:eastAsia="zh-TW"/>
        </w:rPr>
        <w:t>• 應量測左右及前後有效活動行程（mm），確認符合既有同動車訓練任務所需範圍；正式允收行程以既有設備量測及雙方確認值為準。</w:t>
      </w:r>
    </w:p>
    <w:p w14:paraId="1608C828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lastRenderedPageBreak/>
        <w:t>E. 搬運與攜帶</w:t>
      </w:r>
      <w:r w:rsidR="00D829B0" w:rsidRPr="00454241">
        <w:rPr>
          <w:rFonts w:hint="eastAsia"/>
          <w:b/>
          <w:lang w:eastAsia="zh-TW"/>
        </w:rPr>
        <w:t>便捷設計</w:t>
      </w:r>
    </w:p>
    <w:p w14:paraId="69F37025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裝置應可拆卸、收折或模組化收納，搬運時活動部件可固定。</w:t>
      </w:r>
    </w:p>
    <w:p w14:paraId="3B223A2F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應設置適當握持或搬運方式，不得以把手、滑軌等非承重構件作為主要提取位置。</w:t>
      </w:r>
    </w:p>
    <w:p w14:paraId="2B1EED19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具基本防撞保護。</w:t>
      </w:r>
    </w:p>
    <w:p w14:paraId="5C7AB19F" w14:textId="3F598C47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 </w:t>
      </w:r>
      <w:r>
        <w:rPr>
          <w:lang w:eastAsia="zh-TW"/>
        </w:rPr>
        <w:t>• 搬運重量參考目標：單套設備主體與配件合計不超過10 kg</w:t>
      </w:r>
      <w:r>
        <w:rPr>
          <w:rFonts w:hint="eastAsia"/>
          <w:lang w:eastAsia="zh-TW"/>
        </w:rPr>
        <w:t>。</w:t>
      </w:r>
    </w:p>
    <w:p w14:paraId="69FCFCEC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F. 色彩與外觀設計</w:t>
      </w:r>
    </w:p>
    <w:p w14:paraId="297FD39C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同動車主體顏色不得干擾既有數位系統對把手之影像辨識。</w:t>
      </w:r>
    </w:p>
    <w:p w14:paraId="27E5D466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車體應避免使用與辨識把手相同或過於接近之高飽和色彩。</w:t>
      </w:r>
    </w:p>
    <w:p w14:paraId="371226E5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表面原則採霧面或低反射處理，降低環境光線造成之辨識干擾。</w:t>
      </w:r>
    </w:p>
    <w:p w14:paraId="4E6AF0DD" w14:textId="50FDF210" w:rsidR="00BB2ED4" w:rsidRDefault="00000000">
      <w:pPr>
        <w:spacing w:after="60"/>
        <w:rPr>
          <w:lang w:eastAsia="zh-TW"/>
        </w:rPr>
      </w:pPr>
      <w:r>
        <w:rPr>
          <w:lang w:eastAsia="zh-TW"/>
        </w:rPr>
        <w:t>• 影像相容性參考測試：沿用既有攝影機與數位辨識程式，在300–1,000 lux之代表性照明情境下測試；辨識成功率以9</w:t>
      </w:r>
      <w:r w:rsidR="001241EE">
        <w:rPr>
          <w:rFonts w:hint="eastAsia"/>
          <w:lang w:eastAsia="zh-TW"/>
        </w:rPr>
        <w:t>0</w:t>
      </w:r>
      <w:r>
        <w:rPr>
          <w:lang w:eastAsia="zh-TW"/>
        </w:rPr>
        <w:t>%以上為目標。</w:t>
      </w:r>
    </w:p>
    <w:p w14:paraId="77A727AC" w14:textId="77777777" w:rsidR="00E11CA8" w:rsidRPr="00454241" w:rsidRDefault="00000000">
      <w:pPr>
        <w:pStyle w:val="1"/>
        <w:spacing w:after="60"/>
        <w:rPr>
          <w:rFonts w:ascii="微軟正黑體" w:eastAsia="微軟正黑體" w:hAnsi="微軟正黑體"/>
          <w:color w:val="auto"/>
          <w:lang w:eastAsia="zh-TW"/>
        </w:rPr>
      </w:pPr>
      <w:r w:rsidRPr="00454241">
        <w:rPr>
          <w:rFonts w:ascii="微軟正黑體" w:eastAsia="微軟正黑體" w:hAnsi="微軟正黑體"/>
          <w:color w:val="auto"/>
          <w:sz w:val="21"/>
          <w:lang w:eastAsia="zh-TW"/>
        </w:rPr>
        <w:t>3. 組裝、拆卸與搬運要求</w:t>
      </w:r>
    </w:p>
    <w:p w14:paraId="62A9E612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A. 組裝與拆卸流程</w:t>
      </w:r>
    </w:p>
    <w:p w14:paraId="2AEC32A8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廠商應完成同動車組裝與拆卸流程設計，步驟應簡單、明確，並降低錯誤安裝之可能。</w:t>
      </w:r>
    </w:p>
    <w:p w14:paraId="42602302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主要組件應具方向或位置識別標示；組裝完成後應可確認主要固定點是否鎖定。</w:t>
      </w:r>
    </w:p>
    <w:p w14:paraId="7D2BE49B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拆卸後各零組件應可依指定位置放入攜帶箱，並避免固定件、旋鈕或配件遺失。</w:t>
      </w:r>
    </w:p>
    <w:p w14:paraId="17EE0932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應提供圖文式「組裝與拆卸操作說明」，內容至少包括：取出配件、主體定位、把手安裝、患側手固定組件安裝、桌面固定、操作前檢查、拆卸及裝箱。</w:t>
      </w:r>
    </w:p>
    <w:p w14:paraId="21E37272" w14:textId="0BFB8773" w:rsidR="00BB2ED4" w:rsidRDefault="00C402AB">
      <w:pPr>
        <w:spacing w:after="60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>
        <w:rPr>
          <w:lang w:eastAsia="zh-TW"/>
        </w:rPr>
        <w:t>• 組裝及拆卸時間參考目標：各不超過5分鐘。</w:t>
      </w:r>
    </w:p>
    <w:p w14:paraId="2DAA4A7E" w14:textId="77777777" w:rsidR="00E11CA8" w:rsidRPr="00454241" w:rsidRDefault="00000000">
      <w:pPr>
        <w:pStyle w:val="Compact"/>
        <w:spacing w:after="60"/>
        <w:rPr>
          <w:lang w:eastAsia="zh-TW"/>
        </w:rPr>
      </w:pPr>
      <w:r w:rsidRPr="00454241">
        <w:rPr>
          <w:b/>
          <w:lang w:eastAsia="zh-TW"/>
        </w:rPr>
        <w:t>B. 搬運注意事項</w:t>
      </w:r>
    </w:p>
    <w:p w14:paraId="78F89DC2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搬運前應先完成拆卸、收折或活動部件固定，並確認零件無鬆脫。</w:t>
      </w:r>
    </w:p>
    <w:p w14:paraId="74C92172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不得直接拉扯或提取把手、束帶、滑軌等非承重構件搬動整台裝置。</w:t>
      </w:r>
    </w:p>
    <w:p w14:paraId="631509EC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搬運時應使用指定握持位置或攜帶箱提把，避免碰撞、摔落、重壓及車輛運送時滑動。</w:t>
      </w:r>
    </w:p>
    <w:p w14:paraId="392A9826" w14:textId="77777777" w:rsidR="00E11CA8" w:rsidRPr="00454241" w:rsidRDefault="00000000">
      <w:pPr>
        <w:pStyle w:val="Compact"/>
        <w:spacing w:after="60"/>
        <w:ind w:left="312" w:hanging="198"/>
        <w:rPr>
          <w:lang w:eastAsia="zh-TW"/>
        </w:rPr>
      </w:pPr>
      <w:r w:rsidRPr="00454241">
        <w:rPr>
          <w:lang w:eastAsia="zh-TW"/>
        </w:rPr>
        <w:t>• 重新架設前應檢查主體、固定件及把手是否鬆動、變形或損壞；如有異常應停止使用。</w:t>
      </w:r>
    </w:p>
    <w:p w14:paraId="321BB57C" w14:textId="77777777" w:rsidR="00E11CA8" w:rsidRPr="00454241" w:rsidRDefault="00000000">
      <w:pPr>
        <w:pStyle w:val="1"/>
        <w:spacing w:after="60"/>
        <w:rPr>
          <w:rFonts w:ascii="微軟正黑體" w:eastAsia="微軟正黑體" w:hAnsi="微軟正黑體"/>
          <w:color w:val="auto"/>
        </w:rPr>
      </w:pPr>
      <w:r w:rsidRPr="00454241">
        <w:rPr>
          <w:rFonts w:ascii="微軟正黑體" w:eastAsia="微軟正黑體" w:hAnsi="微軟正黑體"/>
          <w:color w:val="auto"/>
          <w:sz w:val="21"/>
        </w:rPr>
        <w:t xml:space="preserve">4. </w:t>
      </w:r>
      <w:proofErr w:type="spellStart"/>
      <w:r w:rsidRPr="00454241">
        <w:rPr>
          <w:rFonts w:ascii="微軟正黑體" w:eastAsia="微軟正黑體" w:hAnsi="微軟正黑體"/>
          <w:color w:val="auto"/>
          <w:sz w:val="21"/>
        </w:rPr>
        <w:t>交付成果及驗收標準</w:t>
      </w:r>
      <w:proofErr w:type="spellEnd"/>
    </w:p>
    <w:tbl>
      <w:tblPr>
        <w:tblW w:w="10882" w:type="dxa"/>
        <w:jc w:val="center"/>
        <w:tblLayout w:type="fixed"/>
        <w:tblLook w:val="04A0" w:firstRow="1" w:lastRow="0" w:firstColumn="1" w:lastColumn="0" w:noHBand="0" w:noVBand="1"/>
      </w:tblPr>
      <w:tblGrid>
        <w:gridCol w:w="3400"/>
        <w:gridCol w:w="4082"/>
        <w:gridCol w:w="3400"/>
      </w:tblGrid>
      <w:tr w:rsidR="00E11CA8" w:rsidRPr="00454241" w14:paraId="0F176ABE" w14:textId="77777777" w:rsidTr="00D829B0">
        <w:trPr>
          <w:jc w:val="center"/>
        </w:trPr>
        <w:tc>
          <w:tcPr>
            <w:tcW w:w="3400" w:type="dxa"/>
            <w:shd w:val="clear" w:color="auto" w:fill="D9EAF7"/>
            <w:vAlign w:val="center"/>
          </w:tcPr>
          <w:p w14:paraId="6C0E1B0E" w14:textId="77777777" w:rsidR="00E11CA8" w:rsidRPr="00454241" w:rsidRDefault="00000000">
            <w:pPr>
              <w:spacing w:after="0" w:line="240" w:lineRule="auto"/>
            </w:pPr>
            <w:proofErr w:type="spellStart"/>
            <w:r w:rsidRPr="00454241">
              <w:rPr>
                <w:b/>
                <w:sz w:val="18"/>
              </w:rPr>
              <w:t>交付項目</w:t>
            </w:r>
            <w:proofErr w:type="spellEnd"/>
          </w:p>
        </w:tc>
        <w:tc>
          <w:tcPr>
            <w:tcW w:w="4082" w:type="dxa"/>
            <w:shd w:val="clear" w:color="auto" w:fill="D9EAF7"/>
            <w:vAlign w:val="center"/>
          </w:tcPr>
          <w:p w14:paraId="7430CD16" w14:textId="77777777" w:rsidR="00E11CA8" w:rsidRPr="00454241" w:rsidRDefault="00000000">
            <w:pPr>
              <w:spacing w:after="0" w:line="240" w:lineRule="auto"/>
            </w:pPr>
            <w:proofErr w:type="spellStart"/>
            <w:r w:rsidRPr="00454241">
              <w:rPr>
                <w:b/>
                <w:sz w:val="18"/>
              </w:rPr>
              <w:t>主要內容</w:t>
            </w:r>
            <w:proofErr w:type="spellEnd"/>
          </w:p>
        </w:tc>
        <w:tc>
          <w:tcPr>
            <w:tcW w:w="3400" w:type="dxa"/>
            <w:shd w:val="clear" w:color="auto" w:fill="D9EAF7"/>
            <w:vAlign w:val="center"/>
          </w:tcPr>
          <w:p w14:paraId="0F38BF81" w14:textId="77777777" w:rsidR="00E11CA8" w:rsidRPr="00454241" w:rsidRDefault="00000000">
            <w:pPr>
              <w:spacing w:after="0" w:line="240" w:lineRule="auto"/>
            </w:pPr>
            <w:proofErr w:type="spellStart"/>
            <w:r w:rsidRPr="00454241">
              <w:rPr>
                <w:b/>
                <w:sz w:val="18"/>
              </w:rPr>
              <w:t>驗收方式</w:t>
            </w:r>
            <w:proofErr w:type="spellEnd"/>
          </w:p>
        </w:tc>
      </w:tr>
      <w:tr w:rsidR="00E11CA8" w:rsidRPr="00454241" w14:paraId="67FC36C5" w14:textId="77777777" w:rsidTr="00D829B0">
        <w:trPr>
          <w:jc w:val="center"/>
        </w:trPr>
        <w:tc>
          <w:tcPr>
            <w:tcW w:w="3400" w:type="dxa"/>
            <w:vAlign w:val="center"/>
          </w:tcPr>
          <w:p w14:paraId="1066BB51" w14:textId="77777777" w:rsidR="00E11CA8" w:rsidRPr="00454241" w:rsidRDefault="00000000">
            <w:pPr>
              <w:spacing w:after="0" w:line="240" w:lineRule="auto"/>
              <w:rPr>
                <w:lang w:eastAsia="zh-TW"/>
              </w:rPr>
            </w:pPr>
            <w:r w:rsidRPr="00454241">
              <w:rPr>
                <w:sz w:val="18"/>
                <w:lang w:eastAsia="zh-TW"/>
              </w:rPr>
              <w:t>PAC同動車主體及配件</w:t>
            </w:r>
            <w:r w:rsidR="00D829B0" w:rsidRPr="00454241">
              <w:rPr>
                <w:rFonts w:hint="eastAsia"/>
                <w:sz w:val="18"/>
                <w:lang w:eastAsia="zh-TW"/>
              </w:rPr>
              <w:t>6套</w:t>
            </w:r>
          </w:p>
        </w:tc>
        <w:tc>
          <w:tcPr>
            <w:tcW w:w="4082" w:type="dxa"/>
            <w:vAlign w:val="center"/>
          </w:tcPr>
          <w:p w14:paraId="502CC00E" w14:textId="77777777" w:rsidR="00E11CA8" w:rsidRPr="00454241" w:rsidRDefault="00000000">
            <w:pPr>
              <w:spacing w:after="0" w:line="240" w:lineRule="auto"/>
              <w:rPr>
                <w:lang w:eastAsia="zh-TW"/>
              </w:rPr>
            </w:pPr>
            <w:r w:rsidRPr="00454241">
              <w:rPr>
                <w:sz w:val="18"/>
                <w:lang w:eastAsia="zh-TW"/>
              </w:rPr>
              <w:t>同動車主體、人體工學把手、患側手固定組件、桌面固定組件</w:t>
            </w:r>
          </w:p>
        </w:tc>
        <w:tc>
          <w:tcPr>
            <w:tcW w:w="3400" w:type="dxa"/>
            <w:vAlign w:val="center"/>
          </w:tcPr>
          <w:p w14:paraId="5FD0CAAD" w14:textId="77777777" w:rsidR="00BB2ED4" w:rsidRDefault="00000000">
            <w:pPr>
              <w:rPr>
                <w:lang w:eastAsia="zh-TW"/>
              </w:rPr>
            </w:pPr>
            <w:r>
              <w:rPr>
                <w:sz w:val="18"/>
                <w:lang w:eastAsia="zh-TW"/>
              </w:rPr>
              <w:t>6套逐套實測；依本節量化驗收補充項目填具測試紀錄</w:t>
            </w:r>
          </w:p>
        </w:tc>
      </w:tr>
      <w:tr w:rsidR="00D829B0" w:rsidRPr="00454241" w14:paraId="45AE7FC2" w14:textId="77777777" w:rsidTr="00D829B0">
        <w:trPr>
          <w:jc w:val="center"/>
        </w:trPr>
        <w:tc>
          <w:tcPr>
            <w:tcW w:w="3400" w:type="dxa"/>
            <w:vAlign w:val="center"/>
          </w:tcPr>
          <w:p w14:paraId="51CE214C" w14:textId="77777777" w:rsidR="00D829B0" w:rsidRPr="00454241" w:rsidRDefault="00D829B0">
            <w:pPr>
              <w:spacing w:after="0" w:line="240" w:lineRule="auto"/>
              <w:rPr>
                <w:lang w:eastAsia="zh-TW"/>
              </w:rPr>
            </w:pPr>
            <w:proofErr w:type="spellStart"/>
            <w:r w:rsidRPr="00454241">
              <w:rPr>
                <w:sz w:val="18"/>
              </w:rPr>
              <w:lastRenderedPageBreak/>
              <w:t>設計與使用文件</w:t>
            </w:r>
            <w:proofErr w:type="spellEnd"/>
          </w:p>
        </w:tc>
        <w:tc>
          <w:tcPr>
            <w:tcW w:w="4082" w:type="dxa"/>
            <w:vAlign w:val="center"/>
          </w:tcPr>
          <w:p w14:paraId="6BE03281" w14:textId="77777777" w:rsidR="00D829B0" w:rsidRPr="00454241" w:rsidRDefault="00D829B0">
            <w:pPr>
              <w:spacing w:after="0" w:line="240" w:lineRule="auto"/>
              <w:rPr>
                <w:lang w:eastAsia="zh-TW"/>
              </w:rPr>
            </w:pPr>
            <w:r w:rsidRPr="00454241">
              <w:rPr>
                <w:sz w:val="18"/>
                <w:lang w:eastAsia="zh-TW"/>
              </w:rPr>
              <w:t>設計規格、使用說明、組裝拆卸、搬運注意、清潔維護及裝箱配置</w:t>
            </w:r>
          </w:p>
        </w:tc>
        <w:tc>
          <w:tcPr>
            <w:tcW w:w="3400" w:type="dxa"/>
            <w:vAlign w:val="center"/>
          </w:tcPr>
          <w:p w14:paraId="12FE6D29" w14:textId="77777777" w:rsidR="00BB2ED4" w:rsidRDefault="00000000">
            <w:pPr>
              <w:rPr>
                <w:lang w:eastAsia="zh-TW"/>
              </w:rPr>
            </w:pPr>
            <w:r>
              <w:rPr>
                <w:sz w:val="18"/>
                <w:lang w:eastAsia="zh-TW"/>
              </w:rPr>
              <w:t>文件完整，另附尺寸、重量、行程及量化測試報告</w:t>
            </w:r>
          </w:p>
        </w:tc>
      </w:tr>
    </w:tbl>
    <w:p w14:paraId="680BADDD" w14:textId="36B7D3C6" w:rsidR="00E11CA8" w:rsidRPr="00454241" w:rsidRDefault="00F75307">
      <w:pPr>
        <w:pStyle w:val="1"/>
        <w:spacing w:after="60"/>
        <w:rPr>
          <w:rFonts w:ascii="微軟正黑體" w:eastAsia="微軟正黑體" w:hAnsi="微軟正黑體"/>
          <w:color w:val="auto"/>
          <w:lang w:eastAsia="zh-TW"/>
        </w:rPr>
      </w:pPr>
      <w:r>
        <w:rPr>
          <w:rFonts w:ascii="微軟正黑體" w:eastAsia="微軟正黑體" w:hAnsi="微軟正黑體" w:hint="eastAsia"/>
          <w:color w:val="auto"/>
          <w:sz w:val="21"/>
          <w:lang w:eastAsia="zh-TW"/>
        </w:rPr>
        <w:t>5</w:t>
      </w:r>
      <w:r w:rsidRPr="00454241">
        <w:rPr>
          <w:rFonts w:ascii="微軟正黑體" w:eastAsia="微軟正黑體" w:hAnsi="微軟正黑體"/>
          <w:color w:val="auto"/>
          <w:sz w:val="21"/>
          <w:lang w:eastAsia="zh-TW"/>
        </w:rPr>
        <w:t>. 廠商交付文件</w:t>
      </w:r>
    </w:p>
    <w:p w14:paraId="2319DDA4" w14:textId="77777777" w:rsidR="00E11CA8" w:rsidRDefault="00000000">
      <w:pPr>
        <w:pStyle w:val="Compact"/>
        <w:spacing w:after="60"/>
        <w:rPr>
          <w:lang w:eastAsia="zh-TW"/>
        </w:rPr>
      </w:pPr>
      <w:r w:rsidRPr="00454241">
        <w:rPr>
          <w:lang w:eastAsia="zh-TW"/>
        </w:rPr>
        <w:t>廠商應提供電子檔文件至少1份，內容包含：同動車設計與規格說明、使用說明、組裝與拆卸操作說明、搬運與收納注意事項、安全注意事項、清潔與保養說明及</w:t>
      </w:r>
      <w:r>
        <w:rPr>
          <w:lang w:eastAsia="zh-TW"/>
        </w:rPr>
        <w:t>教育訓練資料。</w:t>
      </w:r>
    </w:p>
    <w:p w14:paraId="325894B3" w14:textId="6003DAF1" w:rsidR="00436E8E" w:rsidRDefault="00F75307">
      <w:pPr>
        <w:pStyle w:val="1"/>
        <w:spacing w:after="60"/>
        <w:rPr>
          <w:lang w:eastAsia="zh-TW"/>
        </w:rPr>
      </w:pPr>
      <w:r>
        <w:rPr>
          <w:rFonts w:ascii="新細明體" w:eastAsia="新細明體" w:hAnsi="新細明體" w:hint="eastAsia"/>
          <w:sz w:val="21"/>
          <w:lang w:eastAsia="zh-TW"/>
        </w:rPr>
        <w:t>6</w:t>
      </w:r>
      <w:r>
        <w:rPr>
          <w:rFonts w:ascii="微軟正黑體" w:hAnsi="微軟正黑體"/>
          <w:sz w:val="21"/>
          <w:lang w:eastAsia="zh-TW"/>
        </w:rPr>
        <w:t xml:space="preserve">. </w:t>
      </w:r>
      <w:r>
        <w:rPr>
          <w:rFonts w:ascii="微軟正黑體" w:hAnsi="微軟正黑體"/>
          <w:sz w:val="21"/>
          <w:lang w:eastAsia="zh-TW"/>
        </w:rPr>
        <w:t>履約期限與採購金額</w:t>
      </w:r>
    </w:p>
    <w:p w14:paraId="0B4D72BE" w14:textId="78520810" w:rsidR="00436E8E" w:rsidRDefault="00000000">
      <w:pPr>
        <w:pStyle w:val="Compact"/>
        <w:spacing w:after="60"/>
        <w:rPr>
          <w:lang w:eastAsia="zh-TW"/>
        </w:rPr>
      </w:pPr>
      <w:r>
        <w:rPr>
          <w:lang w:eastAsia="zh-TW"/>
        </w:rPr>
        <w:t>• 交貨期限：受委託單位應於115年10月31日（2026年10月31日）前完成本規範書所列全部設計、製作、文件及交付事項。</w:t>
      </w:r>
    </w:p>
    <w:p w14:paraId="3537A317" w14:textId="78258A31" w:rsidR="00436E8E" w:rsidRDefault="00000000">
      <w:pPr>
        <w:pStyle w:val="Compact"/>
        <w:spacing w:after="60"/>
        <w:rPr>
          <w:lang w:eastAsia="zh-TW"/>
        </w:rPr>
      </w:pPr>
      <w:r>
        <w:rPr>
          <w:lang w:eastAsia="zh-TW"/>
        </w:rPr>
        <w:t>• 採購金額：新臺幣元整。</w:t>
      </w:r>
    </w:p>
    <w:sectPr w:rsidR="00436E8E" w:rsidSect="00034616">
      <w:pgSz w:w="12240" w:h="15840"/>
      <w:pgMar w:top="907" w:right="1020" w:bottom="85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3B56" w14:textId="77777777" w:rsidR="00FC2BB3" w:rsidRDefault="00FC2BB3" w:rsidP="00C402AB">
      <w:pPr>
        <w:spacing w:after="0" w:line="240" w:lineRule="auto"/>
      </w:pPr>
      <w:r>
        <w:separator/>
      </w:r>
    </w:p>
  </w:endnote>
  <w:endnote w:type="continuationSeparator" w:id="0">
    <w:p w14:paraId="04C78DB0" w14:textId="77777777" w:rsidR="00FC2BB3" w:rsidRDefault="00FC2BB3" w:rsidP="00C40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3EB0" w14:textId="77777777" w:rsidR="00FC2BB3" w:rsidRDefault="00FC2BB3" w:rsidP="00C402AB">
      <w:pPr>
        <w:spacing w:after="0" w:line="240" w:lineRule="auto"/>
      </w:pPr>
      <w:r>
        <w:separator/>
      </w:r>
    </w:p>
  </w:footnote>
  <w:footnote w:type="continuationSeparator" w:id="0">
    <w:p w14:paraId="21B52A25" w14:textId="77777777" w:rsidR="00FC2BB3" w:rsidRDefault="00FC2BB3" w:rsidP="00C40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7997091">
    <w:abstractNumId w:val="8"/>
  </w:num>
  <w:num w:numId="2" w16cid:durableId="175309585">
    <w:abstractNumId w:val="6"/>
  </w:num>
  <w:num w:numId="3" w16cid:durableId="1666469569">
    <w:abstractNumId w:val="5"/>
  </w:num>
  <w:num w:numId="4" w16cid:durableId="1019698388">
    <w:abstractNumId w:val="4"/>
  </w:num>
  <w:num w:numId="5" w16cid:durableId="841971260">
    <w:abstractNumId w:val="7"/>
  </w:num>
  <w:num w:numId="6" w16cid:durableId="563948545">
    <w:abstractNumId w:val="3"/>
  </w:num>
  <w:num w:numId="7" w16cid:durableId="318077577">
    <w:abstractNumId w:val="2"/>
  </w:num>
  <w:num w:numId="8" w16cid:durableId="193540071">
    <w:abstractNumId w:val="1"/>
  </w:num>
  <w:num w:numId="9" w16cid:durableId="1235043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650F"/>
    <w:rsid w:val="00034616"/>
    <w:rsid w:val="00046747"/>
    <w:rsid w:val="00056AD3"/>
    <w:rsid w:val="0006063C"/>
    <w:rsid w:val="000D7459"/>
    <w:rsid w:val="001241EE"/>
    <w:rsid w:val="0015074B"/>
    <w:rsid w:val="00205DE5"/>
    <w:rsid w:val="0029639D"/>
    <w:rsid w:val="002B1804"/>
    <w:rsid w:val="00326F90"/>
    <w:rsid w:val="0039678A"/>
    <w:rsid w:val="00436E8E"/>
    <w:rsid w:val="00454241"/>
    <w:rsid w:val="0082324D"/>
    <w:rsid w:val="00A80ED2"/>
    <w:rsid w:val="00AA1D8D"/>
    <w:rsid w:val="00B47730"/>
    <w:rsid w:val="00BB2ED4"/>
    <w:rsid w:val="00C402AB"/>
    <w:rsid w:val="00CB0664"/>
    <w:rsid w:val="00CB38A8"/>
    <w:rsid w:val="00D829B0"/>
    <w:rsid w:val="00E11CA8"/>
    <w:rsid w:val="00E40396"/>
    <w:rsid w:val="00E54B0A"/>
    <w:rsid w:val="00EA30EB"/>
    <w:rsid w:val="00F25129"/>
    <w:rsid w:val="00F75307"/>
    <w:rsid w:val="00FC2BB3"/>
    <w:rsid w:val="00FC693F"/>
    <w:rsid w:val="00FD24F8"/>
    <w:rsid w:val="00FE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A6D4B1"/>
  <w14:defaultImageDpi w14:val="300"/>
  <w15:docId w15:val="{9EAB9C39-8F2F-425A-95B0-7E2B8D0CE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mpact">
    <w:name w:val="Compact"/>
    <w:pPr>
      <w:spacing w:after="40" w:line="252" w:lineRule="auto"/>
    </w:pPr>
    <w:rPr>
      <w:rFonts w:ascii="微軟正黑體" w:eastAsia="微軟正黑體" w:hAnsi="微軟正黑體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陳淑慧</cp:lastModifiedBy>
  <cp:revision>2</cp:revision>
  <dcterms:created xsi:type="dcterms:W3CDTF">2026-10-14T08:58:00Z</dcterms:created>
  <dcterms:modified xsi:type="dcterms:W3CDTF">2026-10-14T08:58:00Z</dcterms:modified>
  <cp:category/>
</cp:coreProperties>
</file>