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2D6B7" w14:textId="77777777" w:rsidR="008B55E7" w:rsidRPr="00C26C53" w:rsidRDefault="00000000">
      <w:pPr>
        <w:jc w:val="center"/>
        <w:rPr>
          <w:rFonts w:ascii="標楷體" w:eastAsia="標楷體" w:hAnsi="標楷體" w:cs="標楷體"/>
          <w:color w:val="000000"/>
          <w:sz w:val="36"/>
        </w:rPr>
      </w:pPr>
      <w:r w:rsidRPr="00C26C53">
        <w:rPr>
          <w:rFonts w:ascii="標楷體" w:eastAsia="標楷體" w:hAnsi="標楷體"/>
          <w:sz w:val="36"/>
        </w:rPr>
        <w:t>專業勞務_採購規範書</w:t>
      </w:r>
    </w:p>
    <w:p w14:paraId="2D93FFAD" w14:textId="77777777" w:rsidR="008B55E7" w:rsidRPr="00C26C53" w:rsidRDefault="00000000">
      <w:pPr>
        <w:jc w:val="center"/>
        <w:rPr>
          <w:rFonts w:ascii="標楷體" w:eastAsia="標楷體" w:hAnsi="標楷體"/>
          <w:color w:val="000000"/>
          <w:sz w:val="36"/>
        </w:rPr>
      </w:pPr>
      <w:r w:rsidRPr="00C26C53">
        <w:rPr>
          <w:rFonts w:ascii="標楷體" w:eastAsia="標楷體" w:hAnsi="標楷體"/>
          <w:sz w:val="36"/>
        </w:rPr>
        <w:t>高效能運算工作站硬體整合與電源散熱檢測作業</w:t>
      </w:r>
    </w:p>
    <w:p w14:paraId="045CD60A" w14:textId="77777777" w:rsidR="008B55E7" w:rsidRPr="00C26C53" w:rsidRDefault="00000000">
      <w:pPr>
        <w:widowControl/>
        <w:numPr>
          <w:ilvl w:val="0"/>
          <w:numId w:val="2"/>
        </w:numPr>
        <w:autoSpaceDE w:val="0"/>
        <w:snapToGrid w:val="0"/>
        <w:spacing w:before="360" w:line="0" w:lineRule="atLeast"/>
        <w:ind w:left="482" w:hanging="482"/>
        <w:textAlignment w:val="bottom"/>
        <w:rPr>
          <w:rFonts w:ascii="標楷體" w:eastAsia="標楷體" w:hAnsi="標楷體" w:cs="標楷體"/>
          <w:b/>
          <w:color w:val="000000"/>
        </w:rPr>
      </w:pPr>
      <w:r w:rsidRPr="00C26C53">
        <w:rPr>
          <w:rFonts w:ascii="標楷體" w:eastAsia="標楷體" w:hAnsi="標楷體"/>
          <w:b/>
        </w:rPr>
        <w:t>目的/用途說明：</w:t>
      </w:r>
    </w:p>
    <w:p w14:paraId="788BF4A1" w14:textId="53303B44" w:rsidR="008B55E7" w:rsidRPr="00C26C53" w:rsidRDefault="00000000">
      <w:pPr>
        <w:widowControl/>
        <w:autoSpaceDE w:val="0"/>
        <w:snapToGrid w:val="0"/>
        <w:spacing w:before="360" w:line="0" w:lineRule="atLeast"/>
        <w:ind w:left="482" w:firstLine="478"/>
        <w:jc w:val="both"/>
        <w:textAlignment w:val="bottom"/>
        <w:rPr>
          <w:rFonts w:ascii="標楷體" w:eastAsia="標楷體" w:hAnsi="標楷體"/>
          <w:color w:val="000000"/>
          <w:szCs w:val="24"/>
        </w:rPr>
      </w:pPr>
      <w:r w:rsidRPr="00C26C53">
        <w:rPr>
          <w:rFonts w:ascii="標楷體" w:eastAsia="標楷體" w:hAnsi="標楷體"/>
        </w:rPr>
        <w:t>因應本計畫氣體擴散模擬、</w:t>
      </w:r>
      <w:r w:rsidRPr="00991DE8">
        <w:rPr>
          <w:rFonts w:eastAsia="標楷體"/>
        </w:rPr>
        <w:t>AI</w:t>
      </w:r>
      <w:r w:rsidRPr="00C26C53">
        <w:rPr>
          <w:rFonts w:ascii="標楷體" w:eastAsia="標楷體" w:hAnsi="標楷體"/>
        </w:rPr>
        <w:t>運算及數位孿生研發所需之高效能工作站使用需求，擬委託廠商針對高功率運算顯示卡與既有工作站進行硬體安裝相容性、供電連接、散熱條件、影像輸出及持續負載狀態之檢測，建立工作站硬體整合紀錄與電源／散熱檢核基準，作為後續研發運算設備穩定使用之依據。</w:t>
      </w:r>
    </w:p>
    <w:p w14:paraId="2C34AAC4" w14:textId="77777777" w:rsidR="008B55E7" w:rsidRPr="00C26C53" w:rsidRDefault="00000000">
      <w:pPr>
        <w:widowControl/>
        <w:numPr>
          <w:ilvl w:val="0"/>
          <w:numId w:val="2"/>
        </w:numPr>
        <w:autoSpaceDE w:val="0"/>
        <w:snapToGrid w:val="0"/>
        <w:spacing w:before="360" w:line="0" w:lineRule="atLeast"/>
        <w:ind w:left="482" w:hanging="482"/>
        <w:jc w:val="both"/>
        <w:textAlignment w:val="bottom"/>
        <w:rPr>
          <w:rFonts w:ascii="標楷體" w:eastAsia="標楷體" w:hAnsi="標楷體"/>
          <w:szCs w:val="24"/>
        </w:rPr>
      </w:pPr>
      <w:r w:rsidRPr="00C26C53">
        <w:rPr>
          <w:rFonts w:ascii="標楷體" w:eastAsia="標楷體" w:hAnsi="標楷體"/>
          <w:b/>
        </w:rPr>
        <w:t>規格/功能需求：</w:t>
      </w:r>
    </w:p>
    <w:p w14:paraId="2829FB66" w14:textId="3C1E4AFE" w:rsidR="00321F2A" w:rsidRPr="00991DE8" w:rsidRDefault="00321F2A" w:rsidP="00321F2A">
      <w:pPr>
        <w:keepLines/>
        <w:autoSpaceDE w:val="0"/>
        <w:ind w:left="442" w:hanging="272"/>
        <w:jc w:val="both"/>
        <w:rPr>
          <w:rFonts w:eastAsia="標楷體" w:hint="eastAsia"/>
        </w:rPr>
      </w:pPr>
      <w:r w:rsidRPr="00C26C53">
        <w:rPr>
          <w:rFonts w:ascii="標楷體" w:eastAsia="標楷體" w:hAnsi="標楷體"/>
        </w:rPr>
        <w:t>1.</w:t>
      </w:r>
      <w:r w:rsidRPr="00991DE8">
        <w:rPr>
          <w:rFonts w:eastAsia="標楷體"/>
        </w:rPr>
        <w:t>完成受測工作站及高功率運算顯示卡之硬體規格盤點，至少記錄顯示卡型號、顯示記憶體容量、電源供應器額定功率</w:t>
      </w:r>
      <w:r w:rsidR="00DB1C06">
        <w:rPr>
          <w:rFonts w:eastAsia="標楷體" w:hint="eastAsia"/>
        </w:rPr>
        <w:t>。</w:t>
      </w:r>
    </w:p>
    <w:p w14:paraId="6D9E46E0" w14:textId="0F4EB607" w:rsidR="00321F2A" w:rsidRPr="00991DE8" w:rsidRDefault="00321F2A" w:rsidP="00321F2A">
      <w:pPr>
        <w:keepLines/>
        <w:autoSpaceDE w:val="0"/>
        <w:ind w:left="442" w:hanging="272"/>
        <w:jc w:val="both"/>
        <w:rPr>
          <w:rFonts w:eastAsia="標楷體"/>
        </w:rPr>
      </w:pPr>
      <w:r w:rsidRPr="00991DE8">
        <w:rPr>
          <w:rFonts w:eastAsia="標楷體"/>
        </w:rPr>
        <w:t>2.</w:t>
      </w:r>
      <w:r w:rsidRPr="00991DE8">
        <w:rPr>
          <w:rFonts w:eastAsia="標楷體"/>
        </w:rPr>
        <w:t>完成顯示卡實體安裝與供電相容性檢核，確認</w:t>
      </w:r>
      <w:r w:rsidRPr="00991DE8">
        <w:rPr>
          <w:rFonts w:eastAsia="標楷體"/>
        </w:rPr>
        <w:t>PCI Express x16</w:t>
      </w:r>
      <w:r w:rsidRPr="00991DE8">
        <w:rPr>
          <w:rFonts w:eastAsia="標楷體"/>
        </w:rPr>
        <w:t>插槽，並記錄安裝後之系統硬體辨識狀態。</w:t>
      </w:r>
    </w:p>
    <w:p w14:paraId="0A051CD3" w14:textId="1956CE64" w:rsidR="00321F2A" w:rsidRPr="00991DE8" w:rsidRDefault="00321F2A" w:rsidP="00DB1C06">
      <w:pPr>
        <w:keepLines/>
        <w:autoSpaceDE w:val="0"/>
        <w:ind w:left="442" w:hanging="272"/>
        <w:jc w:val="both"/>
        <w:rPr>
          <w:rFonts w:eastAsia="標楷體"/>
        </w:rPr>
      </w:pPr>
      <w:r w:rsidRPr="00991DE8">
        <w:rPr>
          <w:rFonts w:eastAsia="標楷體"/>
        </w:rPr>
        <w:t>3.</w:t>
      </w:r>
      <w:r w:rsidRPr="00991DE8">
        <w:rPr>
          <w:rFonts w:eastAsia="標楷體"/>
        </w:rPr>
        <w:t>使用通用硬體監測或壓力測試工具執行至少</w:t>
      </w:r>
      <w:r w:rsidR="00DB1C06">
        <w:rPr>
          <w:rFonts w:eastAsia="標楷體" w:hint="eastAsia"/>
        </w:rPr>
        <w:t>1</w:t>
      </w:r>
      <w:r w:rsidRPr="00991DE8">
        <w:rPr>
          <w:rFonts w:eastAsia="標楷體"/>
        </w:rPr>
        <w:t>次連續</w:t>
      </w:r>
      <w:r w:rsidRPr="00991DE8">
        <w:rPr>
          <w:rFonts w:eastAsia="標楷體"/>
        </w:rPr>
        <w:t>60</w:t>
      </w:r>
      <w:r w:rsidRPr="00991DE8">
        <w:rPr>
          <w:rFonts w:eastAsia="標楷體"/>
        </w:rPr>
        <w:t>分鐘之高負載測試</w:t>
      </w:r>
      <w:r w:rsidR="00DB1C06">
        <w:rPr>
          <w:rFonts w:eastAsia="標楷體" w:hint="eastAsia"/>
        </w:rPr>
        <w:t>並</w:t>
      </w:r>
      <w:r w:rsidRPr="00991DE8">
        <w:rPr>
          <w:rFonts w:eastAsia="標楷體"/>
        </w:rPr>
        <w:t>完成</w:t>
      </w:r>
      <w:r w:rsidRPr="00991DE8">
        <w:rPr>
          <w:rFonts w:eastAsia="標楷體"/>
        </w:rPr>
        <w:t>3</w:t>
      </w:r>
      <w:r w:rsidRPr="00991DE8">
        <w:rPr>
          <w:rFonts w:eastAsia="標楷體"/>
        </w:rPr>
        <w:t>次重新啟動或重新上電測試。</w:t>
      </w:r>
    </w:p>
    <w:p w14:paraId="012F8F37" w14:textId="17059335" w:rsidR="00321F2A" w:rsidRPr="00991DE8" w:rsidRDefault="00DB1C06" w:rsidP="00321F2A">
      <w:pPr>
        <w:keepLines/>
        <w:autoSpaceDE w:val="0"/>
        <w:ind w:left="442" w:hanging="272"/>
        <w:jc w:val="both"/>
        <w:rPr>
          <w:rFonts w:eastAsia="標楷體"/>
        </w:rPr>
      </w:pPr>
      <w:r>
        <w:rPr>
          <w:rFonts w:eastAsia="標楷體" w:hint="eastAsia"/>
        </w:rPr>
        <w:t>4</w:t>
      </w:r>
      <w:r w:rsidR="00321F2A" w:rsidRPr="00991DE8">
        <w:rPr>
          <w:rFonts w:eastAsia="標楷體"/>
        </w:rPr>
        <w:t>.</w:t>
      </w:r>
      <w:r w:rsidR="00321F2A" w:rsidRPr="00991DE8">
        <w:rPr>
          <w:rFonts w:eastAsia="標楷體"/>
        </w:rPr>
        <w:t>彙整供電與散熱檢測結果，至少提供最高</w:t>
      </w:r>
      <w:r>
        <w:rPr>
          <w:rFonts w:eastAsia="標楷體" w:hint="eastAsia"/>
        </w:rPr>
        <w:t>/</w:t>
      </w:r>
      <w:r w:rsidR="00321F2A" w:rsidRPr="00991DE8">
        <w:rPr>
          <w:rFonts w:eastAsia="標楷體"/>
        </w:rPr>
        <w:t>平均</w:t>
      </w:r>
      <w:r w:rsidR="00321F2A" w:rsidRPr="00991DE8">
        <w:rPr>
          <w:rFonts w:eastAsia="標楷體"/>
        </w:rPr>
        <w:t>GPU</w:t>
      </w:r>
      <w:r w:rsidR="00321F2A" w:rsidRPr="00991DE8">
        <w:rPr>
          <w:rFonts w:eastAsia="標楷體"/>
        </w:rPr>
        <w:t>溫度、最高功耗、是否發生異常紀錄，並提出電源容量、供電線材及機殼風流配置之改善建議（如有）。</w:t>
      </w:r>
    </w:p>
    <w:p w14:paraId="101B9CEE" w14:textId="48A83941" w:rsidR="004B6A3A" w:rsidRPr="00991DE8" w:rsidRDefault="00DB1C06" w:rsidP="00321F2A">
      <w:pPr>
        <w:keepLines/>
        <w:autoSpaceDE w:val="0"/>
        <w:ind w:left="442" w:hanging="272"/>
        <w:jc w:val="both"/>
        <w:rPr>
          <w:rFonts w:eastAsia="標楷體"/>
        </w:rPr>
      </w:pPr>
      <w:r>
        <w:rPr>
          <w:rFonts w:eastAsia="標楷體" w:hint="eastAsia"/>
        </w:rPr>
        <w:t>5</w:t>
      </w:r>
      <w:r w:rsidR="00321F2A" w:rsidRPr="00991DE8">
        <w:rPr>
          <w:rFonts w:eastAsia="標楷體"/>
        </w:rPr>
        <w:t xml:space="preserve">. </w:t>
      </w:r>
      <w:r w:rsidR="00321F2A" w:rsidRPr="00991DE8">
        <w:rPr>
          <w:rFonts w:eastAsia="標楷體"/>
        </w:rPr>
        <w:t>於結案時提交</w:t>
      </w:r>
      <w:r w:rsidR="00321F2A" w:rsidRPr="00991DE8">
        <w:rPr>
          <w:rFonts w:eastAsia="標楷體"/>
        </w:rPr>
        <w:t>1</w:t>
      </w:r>
      <w:r w:rsidR="00321F2A" w:rsidRPr="00991DE8">
        <w:rPr>
          <w:rFonts w:eastAsia="標楷體"/>
        </w:rPr>
        <w:t>份結案報告，內容</w:t>
      </w:r>
      <w:r>
        <w:rPr>
          <w:rFonts w:eastAsia="標楷體" w:hint="eastAsia"/>
        </w:rPr>
        <w:t>包含：</w:t>
      </w:r>
      <w:r w:rsidR="00321F2A" w:rsidRPr="00991DE8">
        <w:rPr>
          <w:rFonts w:eastAsia="標楷體"/>
        </w:rPr>
        <w:t>受測硬體規格表、安裝與供電檢核紀錄、</w:t>
      </w:r>
      <w:r w:rsidR="00321F2A" w:rsidRPr="00991DE8">
        <w:rPr>
          <w:rFonts w:eastAsia="標楷體"/>
        </w:rPr>
        <w:t>60</w:t>
      </w:r>
      <w:r w:rsidR="00321F2A" w:rsidRPr="00991DE8">
        <w:rPr>
          <w:rFonts w:eastAsia="標楷體"/>
        </w:rPr>
        <w:t>分鐘負載紀錄、符合性判定及改善建議，得以表格、測試紀錄與畫面截圖方式呈現。</w:t>
      </w:r>
    </w:p>
    <w:p w14:paraId="245A3CCA" w14:textId="1194AF74" w:rsidR="008B55E7" w:rsidRPr="00C26C53" w:rsidRDefault="00321F2A" w:rsidP="00321F2A">
      <w:pPr>
        <w:keepLines/>
        <w:autoSpaceDE w:val="0"/>
        <w:ind w:left="442" w:hanging="272"/>
        <w:jc w:val="both"/>
        <w:rPr>
          <w:rFonts w:ascii="標楷體" w:eastAsia="標楷體" w:hAnsi="標楷體" w:cs="標楷體"/>
          <w:b/>
          <w:color w:val="000000"/>
          <w:szCs w:val="24"/>
        </w:rPr>
      </w:pPr>
      <w:r w:rsidRPr="00C26C53">
        <w:rPr>
          <w:rFonts w:ascii="標楷體" w:eastAsia="標楷體" w:hAnsi="標楷體"/>
          <w:b/>
        </w:rPr>
        <w:t>檢測/驗收標準：</w:t>
      </w:r>
    </w:p>
    <w:p w14:paraId="34DAC682" w14:textId="274127DB" w:rsidR="008B55E7" w:rsidRPr="00C26C53" w:rsidRDefault="00000000">
      <w:pPr>
        <w:numPr>
          <w:ilvl w:val="0"/>
          <w:numId w:val="4"/>
        </w:numPr>
        <w:autoSpaceDE w:val="0"/>
        <w:rPr>
          <w:rFonts w:ascii="標楷體" w:eastAsia="標楷體" w:hAnsi="標楷體"/>
          <w:szCs w:val="24"/>
        </w:rPr>
      </w:pPr>
      <w:r w:rsidRPr="00C26C53">
        <w:rPr>
          <w:rFonts w:ascii="標楷體" w:eastAsia="標楷體" w:hAnsi="標楷體"/>
        </w:rPr>
        <w:t>工作時程：115.10.</w:t>
      </w:r>
      <w:r w:rsidR="00045143">
        <w:rPr>
          <w:rFonts w:ascii="標楷體" w:eastAsia="標楷體" w:hAnsi="標楷體" w:hint="eastAsia"/>
        </w:rPr>
        <w:t>3</w:t>
      </w:r>
      <w:r w:rsidRPr="00C26C53">
        <w:rPr>
          <w:rFonts w:ascii="標楷體" w:eastAsia="標楷體" w:hAnsi="標楷體"/>
        </w:rPr>
        <w:t>0~115.11.30</w:t>
      </w:r>
    </w:p>
    <w:p w14:paraId="47FE3AC0" w14:textId="77777777" w:rsidR="008B55E7" w:rsidRPr="00C26C53" w:rsidRDefault="00000000">
      <w:pPr>
        <w:numPr>
          <w:ilvl w:val="0"/>
          <w:numId w:val="4"/>
        </w:numPr>
        <w:autoSpaceDE w:val="0"/>
        <w:rPr>
          <w:rFonts w:ascii="標楷體" w:eastAsia="標楷體" w:hAnsi="標楷體"/>
          <w:szCs w:val="24"/>
        </w:rPr>
      </w:pPr>
      <w:r w:rsidRPr="00C26C53">
        <w:rPr>
          <w:rFonts w:ascii="標楷體" w:eastAsia="標楷體" w:hAnsi="標楷體"/>
        </w:rPr>
        <w:t>驗收項目：</w:t>
      </w:r>
    </w:p>
    <w:p w14:paraId="56CD445C" w14:textId="080CFF3C" w:rsidR="008B55E7" w:rsidRPr="00AB6115" w:rsidRDefault="00000000" w:rsidP="00E20F0F">
      <w:pPr>
        <w:autoSpaceDE w:val="0"/>
        <w:ind w:left="480"/>
        <w:rPr>
          <w:rFonts w:ascii="標楷體" w:eastAsia="標楷體" w:hAnsi="標楷體"/>
          <w:szCs w:val="24"/>
        </w:rPr>
      </w:pPr>
      <w:r w:rsidRPr="00C26C53">
        <w:rPr>
          <w:rFonts w:ascii="標楷體" w:eastAsia="標楷體" w:hAnsi="標楷體"/>
        </w:rPr>
        <w:t>廠商須依據上述之規格與功能需求，完成各項作業</w:t>
      </w:r>
      <w:r w:rsidR="00E20F0F">
        <w:rPr>
          <w:rFonts w:ascii="標楷體" w:eastAsia="標楷體" w:hAnsi="標楷體" w:hint="eastAsia"/>
        </w:rPr>
        <w:t>，並</w:t>
      </w:r>
      <w:r w:rsidRPr="00AB6115">
        <w:rPr>
          <w:rFonts w:ascii="標楷體" w:eastAsia="標楷體" w:hAnsi="標楷體"/>
        </w:rPr>
        <w:t>需繳交結案報告1份及必要之原始測試紀錄／畫面。</w:t>
      </w:r>
    </w:p>
    <w:p w14:paraId="7AB33E5B" w14:textId="77777777" w:rsidR="00C26C53" w:rsidRPr="00E20F0F" w:rsidRDefault="00C26C53" w:rsidP="00C26C53">
      <w:pPr>
        <w:autoSpaceDE w:val="0"/>
        <w:ind w:left="480"/>
        <w:rPr>
          <w:rFonts w:ascii="標楷體" w:eastAsia="標楷體" w:hAnsi="標楷體"/>
          <w:szCs w:val="24"/>
        </w:rPr>
      </w:pPr>
    </w:p>
    <w:p w14:paraId="1BC458E9" w14:textId="77777777" w:rsidR="008B55E7" w:rsidRPr="00C26C53" w:rsidRDefault="00000000">
      <w:pPr>
        <w:autoSpaceDE w:val="0"/>
        <w:ind w:left="480"/>
        <w:rPr>
          <w:rFonts w:ascii="標楷體" w:eastAsia="標楷體" w:hAnsi="標楷體"/>
          <w:szCs w:val="24"/>
        </w:rPr>
      </w:pPr>
      <w:r w:rsidRPr="00C26C53">
        <w:rPr>
          <w:rFonts w:ascii="標楷體" w:eastAsia="標楷體" w:hAnsi="標楷體"/>
        </w:rPr>
        <w:t>若廠商未通過上述驗收條件，須於14個日曆天內完成改善，經複測確認無誤後方可驗收；若期限內無法改善，則工研院得依契約規定辦理。</w:t>
      </w:r>
    </w:p>
    <w:p w14:paraId="5693B42A" w14:textId="77777777" w:rsidR="008B55E7" w:rsidRPr="00C26C53" w:rsidRDefault="00000000">
      <w:pPr>
        <w:autoSpaceDE w:val="0"/>
        <w:ind w:left="840" w:hanging="840"/>
        <w:jc w:val="both"/>
        <w:rPr>
          <w:rFonts w:ascii="標楷體" w:eastAsia="標楷體" w:hAnsi="標楷體"/>
          <w:szCs w:val="24"/>
        </w:rPr>
      </w:pPr>
      <w:r w:rsidRPr="00C26C53">
        <w:rPr>
          <w:rFonts w:ascii="標楷體" w:eastAsia="標楷體" w:hAnsi="標楷體"/>
          <w:szCs w:val="24"/>
        </w:rPr>
        <w:t xml:space="preserve">    </w:t>
      </w:r>
    </w:p>
    <w:p w14:paraId="7B73A112" w14:textId="77777777" w:rsidR="008B55E7" w:rsidRPr="00C26C53" w:rsidRDefault="008B55E7">
      <w:pPr>
        <w:autoSpaceDE w:val="0"/>
        <w:ind w:left="840" w:hanging="840"/>
        <w:jc w:val="both"/>
        <w:rPr>
          <w:rFonts w:ascii="標楷體" w:eastAsia="標楷體" w:hAnsi="標楷體"/>
          <w:szCs w:val="24"/>
        </w:rPr>
      </w:pPr>
    </w:p>
    <w:p w14:paraId="1DF72C5F" w14:textId="6FD9C25A" w:rsidR="008B55E7" w:rsidRPr="00C26C53" w:rsidRDefault="00000000">
      <w:pPr>
        <w:numPr>
          <w:ilvl w:val="0"/>
          <w:numId w:val="4"/>
        </w:numPr>
        <w:autoSpaceDE w:val="0"/>
        <w:rPr>
          <w:rFonts w:ascii="標楷體" w:eastAsia="標楷體" w:hAnsi="標楷體"/>
          <w:szCs w:val="24"/>
        </w:rPr>
      </w:pPr>
      <w:r w:rsidRPr="00C26C53">
        <w:rPr>
          <w:rFonts w:ascii="標楷體" w:eastAsia="標楷體" w:hAnsi="標楷體"/>
        </w:rPr>
        <w:t>受託方於115年11月30日前完成「驗收項目」後，委託方支付計畫總金額之100%。</w:t>
      </w:r>
    </w:p>
    <w:p w14:paraId="2E6E03AB" w14:textId="46A41E40" w:rsidR="008B55E7" w:rsidRPr="00C26C53" w:rsidRDefault="00000000">
      <w:pPr>
        <w:widowControl/>
        <w:numPr>
          <w:ilvl w:val="0"/>
          <w:numId w:val="2"/>
        </w:numPr>
        <w:autoSpaceDE w:val="0"/>
        <w:snapToGrid w:val="0"/>
        <w:spacing w:before="360" w:line="0" w:lineRule="atLeast"/>
        <w:ind w:left="482" w:hanging="482"/>
        <w:textAlignment w:val="bottom"/>
        <w:rPr>
          <w:rFonts w:ascii="標楷體" w:eastAsia="標楷體" w:hAnsi="標楷體" w:cs="標楷體"/>
          <w:b/>
          <w:color w:val="000000"/>
          <w:szCs w:val="24"/>
        </w:rPr>
      </w:pPr>
      <w:r w:rsidRPr="00C26C53">
        <w:rPr>
          <w:rFonts w:ascii="標楷體" w:eastAsia="標楷體" w:hAnsi="標楷體"/>
          <w:b/>
        </w:rPr>
        <w:lastRenderedPageBreak/>
        <w:t>交貨期：2026年11月30日前</w:t>
      </w:r>
    </w:p>
    <w:p w14:paraId="4D8F71B7" w14:textId="77777777" w:rsidR="008B55E7" w:rsidRPr="00C26C53" w:rsidRDefault="00000000">
      <w:pPr>
        <w:widowControl/>
        <w:numPr>
          <w:ilvl w:val="0"/>
          <w:numId w:val="2"/>
        </w:numPr>
        <w:tabs>
          <w:tab w:val="clear" w:pos="480"/>
        </w:tabs>
        <w:autoSpaceDE w:val="0"/>
        <w:snapToGrid w:val="0"/>
        <w:spacing w:before="360" w:line="0" w:lineRule="atLeast"/>
        <w:ind w:left="482" w:hanging="482"/>
        <w:textAlignment w:val="bottom"/>
        <w:rPr>
          <w:rFonts w:ascii="標楷體" w:eastAsia="標楷體" w:hAnsi="標楷體" w:cs="標楷體"/>
          <w:b/>
          <w:color w:val="000000"/>
          <w:szCs w:val="24"/>
        </w:rPr>
      </w:pPr>
      <w:r w:rsidRPr="00C26C53">
        <w:rPr>
          <w:rFonts w:ascii="標楷體" w:eastAsia="標楷體" w:hAnsi="標楷體"/>
          <w:b/>
        </w:rPr>
        <w:t>安裝/測試要求：▓有  □無</w:t>
      </w:r>
    </w:p>
    <w:p w14:paraId="130A54F9" w14:textId="77777777" w:rsidR="008B55E7" w:rsidRPr="00C26C53" w:rsidRDefault="00000000">
      <w:pPr>
        <w:numPr>
          <w:ilvl w:val="0"/>
          <w:numId w:val="5"/>
        </w:numPr>
        <w:autoSpaceDE w:val="0"/>
        <w:rPr>
          <w:rFonts w:ascii="標楷體" w:eastAsia="標楷體" w:hAnsi="標楷體"/>
          <w:szCs w:val="24"/>
        </w:rPr>
      </w:pPr>
      <w:r w:rsidRPr="00C26C53">
        <w:rPr>
          <w:rFonts w:ascii="標楷體" w:eastAsia="標楷體" w:hAnsi="標楷體"/>
        </w:rPr>
        <w:t>於廠商或工研院指定之工作站環境執行安裝與測試；測試環境須具備受測顯示卡所需之PCI Express x16相容插槽、適當供電與散熱條件，並可執行硬體監測／壓力測試。</w:t>
      </w:r>
    </w:p>
    <w:p w14:paraId="0E6A7F9E" w14:textId="77777777" w:rsidR="008B55E7" w:rsidRPr="00C26C53" w:rsidRDefault="00000000">
      <w:pPr>
        <w:widowControl/>
        <w:numPr>
          <w:ilvl w:val="0"/>
          <w:numId w:val="2"/>
        </w:numPr>
        <w:autoSpaceDE w:val="0"/>
        <w:snapToGrid w:val="0"/>
        <w:spacing w:before="120" w:line="0" w:lineRule="atLeast"/>
        <w:ind w:left="482" w:hanging="482"/>
        <w:textAlignment w:val="bottom"/>
        <w:rPr>
          <w:rFonts w:ascii="標楷體" w:eastAsia="標楷體" w:hAnsi="標楷體" w:cs="標楷體"/>
          <w:b/>
          <w:color w:val="000000"/>
          <w:szCs w:val="24"/>
        </w:rPr>
      </w:pPr>
      <w:r w:rsidRPr="00C26C53">
        <w:rPr>
          <w:rFonts w:ascii="標楷體" w:eastAsia="標楷體" w:hAnsi="標楷體"/>
          <w:b/>
        </w:rPr>
        <w:t>訓練：□有  ▓無</w:t>
      </w:r>
    </w:p>
    <w:p w14:paraId="26AE9BDA" w14:textId="77777777" w:rsidR="008B55E7" w:rsidRPr="00C26C53" w:rsidRDefault="00000000">
      <w:pPr>
        <w:widowControl/>
        <w:numPr>
          <w:ilvl w:val="0"/>
          <w:numId w:val="2"/>
        </w:numPr>
        <w:autoSpaceDE w:val="0"/>
        <w:snapToGrid w:val="0"/>
        <w:spacing w:before="120" w:line="0" w:lineRule="atLeast"/>
        <w:ind w:left="482" w:hanging="482"/>
        <w:textAlignment w:val="bottom"/>
        <w:rPr>
          <w:rFonts w:ascii="標楷體" w:eastAsia="標楷體" w:hAnsi="標楷體" w:cs="標楷體"/>
          <w:b/>
          <w:color w:val="000000"/>
          <w:szCs w:val="24"/>
        </w:rPr>
      </w:pPr>
      <w:r w:rsidRPr="00C26C53">
        <w:rPr>
          <w:rFonts w:ascii="標楷體" w:eastAsia="標楷體" w:hAnsi="標楷體"/>
          <w:b/>
        </w:rPr>
        <w:t>售後服務要求：□有  ▓無</w:t>
      </w:r>
    </w:p>
    <w:p w14:paraId="139DD0AA" w14:textId="77777777" w:rsidR="008B55E7" w:rsidRPr="00C26C53" w:rsidRDefault="00000000">
      <w:pPr>
        <w:widowControl/>
        <w:numPr>
          <w:ilvl w:val="0"/>
          <w:numId w:val="2"/>
        </w:numPr>
        <w:autoSpaceDE w:val="0"/>
        <w:snapToGrid w:val="0"/>
        <w:spacing w:before="120" w:line="0" w:lineRule="atLeast"/>
        <w:ind w:left="482" w:hanging="482"/>
        <w:textAlignment w:val="bottom"/>
        <w:rPr>
          <w:rFonts w:ascii="標楷體" w:eastAsia="標楷體" w:hAnsi="標楷體" w:cs="標楷體"/>
          <w:color w:val="000000"/>
          <w:szCs w:val="24"/>
        </w:rPr>
      </w:pPr>
      <w:r w:rsidRPr="00C26C53">
        <w:rPr>
          <w:rFonts w:ascii="標楷體" w:eastAsia="標楷體" w:hAnsi="標楷體"/>
          <w:b/>
        </w:rPr>
        <w:t>廠商交付文件：▓有  □無</w:t>
      </w:r>
    </w:p>
    <w:p w14:paraId="285AD4C3" w14:textId="77777777" w:rsidR="008B55E7" w:rsidRPr="00C26C53" w:rsidRDefault="00000000">
      <w:pPr>
        <w:widowControl/>
        <w:numPr>
          <w:ilvl w:val="0"/>
          <w:numId w:val="2"/>
        </w:numPr>
        <w:autoSpaceDE w:val="0"/>
        <w:snapToGrid w:val="0"/>
        <w:spacing w:before="120" w:line="0" w:lineRule="atLeast"/>
        <w:ind w:left="482" w:hanging="482"/>
        <w:textAlignment w:val="bottom"/>
        <w:rPr>
          <w:rFonts w:ascii="標楷體" w:eastAsia="標楷體" w:hAnsi="標楷體" w:cs="標楷體"/>
          <w:b/>
          <w:color w:val="000000"/>
          <w:szCs w:val="24"/>
        </w:rPr>
      </w:pPr>
      <w:r w:rsidRPr="00C26C53">
        <w:rPr>
          <w:rFonts w:ascii="標楷體" w:eastAsia="標楷體" w:hAnsi="標楷體"/>
          <w:b/>
        </w:rPr>
        <w:t>工作環境及安全衛生規定要求：□有  ▓無</w:t>
      </w:r>
    </w:p>
    <w:p w14:paraId="3FA10FDC" w14:textId="77777777" w:rsidR="008B55E7" w:rsidRPr="00C26C53" w:rsidRDefault="00000000">
      <w:pPr>
        <w:widowControl/>
        <w:numPr>
          <w:ilvl w:val="0"/>
          <w:numId w:val="2"/>
        </w:numPr>
        <w:autoSpaceDE w:val="0"/>
        <w:snapToGrid w:val="0"/>
        <w:spacing w:before="120" w:line="0" w:lineRule="atLeast"/>
        <w:ind w:left="482" w:hanging="482"/>
        <w:textAlignment w:val="bottom"/>
        <w:rPr>
          <w:rFonts w:ascii="標楷體" w:eastAsia="標楷體" w:hAnsi="標楷體" w:cs="標楷體"/>
          <w:color w:val="000000"/>
        </w:rPr>
      </w:pPr>
      <w:r w:rsidRPr="00C26C53">
        <w:rPr>
          <w:rFonts w:ascii="標楷體" w:eastAsia="標楷體" w:hAnsi="標楷體"/>
          <w:b/>
        </w:rPr>
        <w:t>涉及智慧財產權歸屬要求：▓有  □無</w:t>
      </w:r>
    </w:p>
    <w:p w14:paraId="20EA4EA7" w14:textId="77777777" w:rsidR="008B55E7" w:rsidRPr="00C26C53" w:rsidRDefault="00000000">
      <w:pPr>
        <w:widowControl/>
        <w:numPr>
          <w:ilvl w:val="1"/>
          <w:numId w:val="7"/>
        </w:numPr>
        <w:autoSpaceDE w:val="0"/>
        <w:snapToGrid w:val="0"/>
        <w:spacing w:line="0" w:lineRule="atLeast"/>
        <w:jc w:val="both"/>
        <w:textAlignment w:val="bottom"/>
        <w:rPr>
          <w:rFonts w:ascii="標楷體" w:eastAsia="標楷體" w:hAnsi="標楷體" w:cs="標楷體"/>
          <w:color w:val="000000"/>
          <w:szCs w:val="24"/>
        </w:rPr>
      </w:pPr>
      <w:r w:rsidRPr="00C26C53">
        <w:rPr>
          <w:rFonts w:ascii="標楷體" w:eastAsia="標楷體" w:hAnsi="標楷體"/>
        </w:rPr>
        <w:t>廠商履約結果產出產品涉及智慧財產權（包含專利權、商標權、著作權、積體電路電路布局權、營業秘密…等）歸屬者，其內容如本院取得全部權利/本院取得部分權利/本院取得永久無償使用權。</w:t>
      </w:r>
    </w:p>
    <w:p w14:paraId="57D82D71" w14:textId="77777777" w:rsidR="008B55E7" w:rsidRPr="00C26C53" w:rsidRDefault="00000000">
      <w:pPr>
        <w:widowControl/>
        <w:numPr>
          <w:ilvl w:val="1"/>
          <w:numId w:val="7"/>
        </w:numPr>
        <w:autoSpaceDE w:val="0"/>
        <w:snapToGrid w:val="0"/>
        <w:spacing w:line="0" w:lineRule="atLeast"/>
        <w:jc w:val="both"/>
        <w:textAlignment w:val="bottom"/>
        <w:rPr>
          <w:rFonts w:ascii="標楷體" w:eastAsia="標楷體" w:hAnsi="標楷體" w:cs="標楷體"/>
          <w:color w:val="000000"/>
          <w:szCs w:val="24"/>
        </w:rPr>
      </w:pPr>
      <w:r w:rsidRPr="00C26C53">
        <w:rPr>
          <w:rFonts w:ascii="標楷體" w:eastAsia="標楷體" w:hAnsi="標楷體"/>
        </w:rPr>
        <w:t>廠商需對本案產出內容履行保密責任。</w:t>
      </w:r>
    </w:p>
    <w:p w14:paraId="1B541A8D" w14:textId="77777777" w:rsidR="008B55E7" w:rsidRPr="00C26C53" w:rsidRDefault="00000000">
      <w:pPr>
        <w:numPr>
          <w:ilvl w:val="0"/>
          <w:numId w:val="7"/>
        </w:numPr>
        <w:autoSpaceDE w:val="0"/>
        <w:snapToGrid w:val="0"/>
        <w:spacing w:before="120" w:line="0" w:lineRule="atLeast"/>
        <w:ind w:left="482" w:hanging="482"/>
        <w:textAlignment w:val="bottom"/>
        <w:rPr>
          <w:rFonts w:ascii="標楷體" w:eastAsia="標楷體" w:hAnsi="標楷體" w:cs="標楷體"/>
          <w:color w:val="000000"/>
        </w:rPr>
      </w:pPr>
      <w:r w:rsidRPr="00C26C53">
        <w:rPr>
          <w:rFonts w:ascii="標楷體" w:eastAsia="標楷體" w:hAnsi="標楷體"/>
        </w:rPr>
        <w:t>廠商資格條件：▓有  □無特別要求；廠商應具電子材料、電腦周邊、電腦組裝、工作站建置、GPU安裝測試或電源／散熱整合之實務能力。</w:t>
      </w:r>
    </w:p>
    <w:p w14:paraId="048B462E" w14:textId="77777777" w:rsidR="008B55E7" w:rsidRPr="00C26C53" w:rsidRDefault="008B55E7">
      <w:pPr>
        <w:pStyle w:val="Default0"/>
        <w:snapToGrid w:val="0"/>
        <w:spacing w:line="360" w:lineRule="auto"/>
        <w:rPr>
          <w:rFonts w:eastAsia="標楷體" w:cs="Times New Roman"/>
        </w:rPr>
      </w:pPr>
    </w:p>
    <w:sectPr w:rsidR="008B55E7" w:rsidRPr="00C26C53">
      <w:footerReference w:type="default" r:id="rId7"/>
      <w:pgSz w:w="11906" w:h="16838"/>
      <w:pgMar w:top="1440" w:right="1800" w:bottom="1440" w:left="1800" w:header="0" w:footer="992"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92761" w14:textId="77777777" w:rsidR="006D1513" w:rsidRDefault="006D1513">
      <w:r>
        <w:separator/>
      </w:r>
    </w:p>
  </w:endnote>
  <w:endnote w:type="continuationSeparator" w:id="0">
    <w:p w14:paraId="111F5663" w14:textId="77777777" w:rsidR="006D1513" w:rsidRDefault="006D1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ohit Devanagari">
    <w:altName w:val="Cambria"/>
    <w:panose1 w:val="00000000000000000000"/>
    <w:charset w:val="00"/>
    <w:family w:val="roman"/>
    <w:notTrueType/>
    <w:pitch w:val="default"/>
  </w:font>
  <w:font w:name="新細明體;PMingLiU">
    <w:altName w:val="新細明體"/>
    <w:panose1 w:val="00000000000000000000"/>
    <w:charset w:val="88"/>
    <w:family w:val="roman"/>
    <w:notTrueType/>
    <w:pitch w:val="default"/>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3DE5C" w14:textId="77777777" w:rsidR="008B55E7" w:rsidRDefault="00000000">
    <w:pPr>
      <w:pStyle w:val="ab"/>
      <w:jc w:val="center"/>
    </w:pPr>
    <w:r>
      <w:fldChar w:fldCharType="begin"/>
    </w:r>
    <w:r>
      <w:instrText xml:space="preserve"> PAGE </w:instrText>
    </w:r>
    <w:r>
      <w:fldChar w:fldCharType="separate"/>
    </w:r>
    <w:r>
      <w:t>2</w:t>
    </w:r>
    <w:r>
      <w:fldChar w:fldCharType="end"/>
    </w:r>
  </w:p>
  <w:p w14:paraId="35A66343" w14:textId="77777777" w:rsidR="008B55E7" w:rsidRDefault="008B55E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40B20" w14:textId="77777777" w:rsidR="006D1513" w:rsidRDefault="006D1513">
      <w:r>
        <w:separator/>
      </w:r>
    </w:p>
  </w:footnote>
  <w:footnote w:type="continuationSeparator" w:id="0">
    <w:p w14:paraId="07AC39C2" w14:textId="77777777" w:rsidR="006D1513" w:rsidRDefault="006D15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4599"/>
    <w:multiLevelType w:val="multilevel"/>
    <w:tmpl w:val="A4C0E5A6"/>
    <w:lvl w:ilvl="0">
      <w:start w:val="1"/>
      <w:numFmt w:val="decimal"/>
      <w:lvlText w:val="%1."/>
      <w:lvlJc w:val="left"/>
      <w:pPr>
        <w:tabs>
          <w:tab w:val="num" w:pos="0"/>
        </w:tabs>
        <w:ind w:left="960"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D940D1"/>
    <w:multiLevelType w:val="multilevel"/>
    <w:tmpl w:val="C9B005EC"/>
    <w:lvl w:ilvl="0">
      <w:start w:val="1"/>
      <w:numFmt w:val="bullet"/>
      <w:lvlText w:val=""/>
      <w:lvlJc w:val="left"/>
      <w:pPr>
        <w:tabs>
          <w:tab w:val="num" w:pos="480"/>
        </w:tabs>
        <w:ind w:left="480" w:hanging="480"/>
      </w:pPr>
      <w:rPr>
        <w:rFonts w:ascii="Wingdings" w:hAnsi="Wingdings" w:cs="Wingdings" w:hint="default"/>
      </w:r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2" w15:restartNumberingAfterBreak="0">
    <w:nsid w:val="17304D85"/>
    <w:multiLevelType w:val="multilevel"/>
    <w:tmpl w:val="38BCD948"/>
    <w:lvl w:ilvl="0">
      <w:start w:val="1"/>
      <w:numFmt w:val="bullet"/>
      <w:lvlText w:val=""/>
      <w:lvlJc w:val="left"/>
      <w:pPr>
        <w:tabs>
          <w:tab w:val="num" w:pos="0"/>
        </w:tabs>
        <w:ind w:left="960" w:hanging="48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3C5195E"/>
    <w:multiLevelType w:val="multilevel"/>
    <w:tmpl w:val="D2C2138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4867F77"/>
    <w:multiLevelType w:val="multilevel"/>
    <w:tmpl w:val="B11E5C76"/>
    <w:lvl w:ilvl="0">
      <w:start w:val="1"/>
      <w:numFmt w:val="decimal"/>
      <w:lvlText w:val="%1."/>
      <w:lvlJc w:val="left"/>
      <w:pPr>
        <w:tabs>
          <w:tab w:val="num" w:pos="0"/>
        </w:tabs>
        <w:ind w:left="960"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A45015D"/>
    <w:multiLevelType w:val="multilevel"/>
    <w:tmpl w:val="0C965C48"/>
    <w:lvl w:ilvl="0">
      <w:start w:val="1"/>
      <w:numFmt w:val="bullet"/>
      <w:lvlText w:val=""/>
      <w:lvlJc w:val="left"/>
      <w:pPr>
        <w:tabs>
          <w:tab w:val="num" w:pos="0"/>
        </w:tabs>
        <w:ind w:left="480" w:hanging="48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43C02BA"/>
    <w:multiLevelType w:val="multilevel"/>
    <w:tmpl w:val="76F615DA"/>
    <w:lvl w:ilvl="0">
      <w:start w:val="1"/>
      <w:numFmt w:val="bullet"/>
      <w:lvlText w:val=""/>
      <w:lvlJc w:val="left"/>
      <w:pPr>
        <w:tabs>
          <w:tab w:val="num" w:pos="480"/>
        </w:tabs>
        <w:ind w:left="480" w:hanging="48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1538011">
    <w:abstractNumId w:val="3"/>
  </w:num>
  <w:num w:numId="2" w16cid:durableId="1816142755">
    <w:abstractNumId w:val="6"/>
  </w:num>
  <w:num w:numId="3" w16cid:durableId="2028022938">
    <w:abstractNumId w:val="0"/>
  </w:num>
  <w:num w:numId="4" w16cid:durableId="567957214">
    <w:abstractNumId w:val="5"/>
  </w:num>
  <w:num w:numId="5" w16cid:durableId="1873495477">
    <w:abstractNumId w:val="2"/>
  </w:num>
  <w:num w:numId="6" w16cid:durableId="1094128943">
    <w:abstractNumId w:val="4"/>
  </w:num>
  <w:num w:numId="7" w16cid:durableId="257183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NotTrackMoves/>
  <w:defaultTabStop w:val="480"/>
  <w:autoHyphenation/>
  <w:hyphenationZone w:val="0"/>
  <w:characterSpacingControl w:val="doNotCompress"/>
  <w:footnotePr>
    <w:footnote w:id="-1"/>
    <w:footnote w:id="0"/>
  </w:footnotePr>
  <w:endnotePr>
    <w:endnote w:id="-1"/>
    <w:endnote w:id="0"/>
  </w:endnotePr>
  <w:compat>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55E7"/>
    <w:rsid w:val="00045143"/>
    <w:rsid w:val="000B30B8"/>
    <w:rsid w:val="00117820"/>
    <w:rsid w:val="00194AAD"/>
    <w:rsid w:val="00297F7A"/>
    <w:rsid w:val="00305B9C"/>
    <w:rsid w:val="00321F2A"/>
    <w:rsid w:val="004B6A3A"/>
    <w:rsid w:val="00503FCE"/>
    <w:rsid w:val="006D1513"/>
    <w:rsid w:val="008019F5"/>
    <w:rsid w:val="00803228"/>
    <w:rsid w:val="008B55E7"/>
    <w:rsid w:val="00991DE8"/>
    <w:rsid w:val="00A40285"/>
    <w:rsid w:val="00AB6115"/>
    <w:rsid w:val="00AE2BE9"/>
    <w:rsid w:val="00B23F21"/>
    <w:rsid w:val="00BE5CD8"/>
    <w:rsid w:val="00C24F84"/>
    <w:rsid w:val="00C26C53"/>
    <w:rsid w:val="00C805BE"/>
    <w:rsid w:val="00C905F7"/>
    <w:rsid w:val="00C919CE"/>
    <w:rsid w:val="00D746F6"/>
    <w:rsid w:val="00DB1C06"/>
    <w:rsid w:val="00DF4733"/>
    <w:rsid w:val="00E20F0F"/>
    <w:rsid w:val="00F042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0070"/>
  <w15:docId w15:val="{370BB98C-E733-428B-94D5-D93E93C3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ohit Devanagar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eastAsia="新細明體;PMingLiU" w:hAnsi="Times New Roman" w:cs="Times New Roman"/>
      <w:kern w:val="2"/>
      <w:sz w:val="24"/>
    </w:rPr>
  </w:style>
  <w:style w:type="paragraph" w:styleId="1">
    <w:name w:val="heading 1"/>
    <w:basedOn w:val="a"/>
    <w:next w:val="a"/>
    <w:uiPriority w:val="9"/>
    <w:qFormat/>
    <w:pPr>
      <w:keepNext/>
      <w:numPr>
        <w:numId w:val="1"/>
      </w:numPr>
      <w:spacing w:before="180" w:after="180" w:line="720" w:lineRule="auto"/>
      <w:outlineLvl w:val="0"/>
    </w:pPr>
    <w:rPr>
      <w:rFonts w:ascii="Cambria" w:hAnsi="Cambria"/>
      <w:b/>
      <w:bCs/>
      <w:sz w:val="52"/>
      <w:szCs w:val="52"/>
    </w:rPr>
  </w:style>
  <w:style w:type="paragraph" w:styleId="3">
    <w:name w:val="heading 3"/>
    <w:basedOn w:val="a"/>
    <w:next w:val="a"/>
    <w:uiPriority w:val="9"/>
    <w:semiHidden/>
    <w:unhideWhenUsed/>
    <w:qFormat/>
    <w:pPr>
      <w:keepNext/>
      <w:numPr>
        <w:ilvl w:val="2"/>
        <w:numId w:val="1"/>
      </w:numPr>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2z0">
    <w:name w:val="WW8Num2z0"/>
    <w:qFormat/>
    <w:rPr>
      <w:rFonts w:ascii="Wingdings" w:hAnsi="Wingdings" w:cs="Wingdings"/>
    </w:rPr>
  </w:style>
  <w:style w:type="character" w:customStyle="1" w:styleId="WW8Num3z0">
    <w:name w:val="WW8Num3z0"/>
    <w:qFormat/>
  </w:style>
  <w:style w:type="character" w:customStyle="1" w:styleId="WW8Num4z0">
    <w:name w:val="WW8Num4z0"/>
    <w:qFormat/>
    <w:rPr>
      <w:rFonts w:ascii="Wingdings" w:hAnsi="Wingdings" w:cs="Wingdings"/>
    </w:rPr>
  </w:style>
  <w:style w:type="character" w:customStyle="1" w:styleId="WW8Num5z0">
    <w:name w:val="WW8Num5z0"/>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style>
  <w:style w:type="character" w:customStyle="1" w:styleId="WW8Num10z0">
    <w:name w:val="WW8Num10z0"/>
    <w:qFormat/>
  </w:style>
  <w:style w:type="character" w:customStyle="1" w:styleId="WW8Num11z0">
    <w:name w:val="WW8Num11z0"/>
    <w:qFormat/>
    <w:rPr>
      <w:rFonts w:ascii="Wingdings" w:hAnsi="Wingdings" w:cs="Wingdings"/>
    </w:rPr>
  </w:style>
  <w:style w:type="character" w:customStyle="1" w:styleId="WW8Num12z0">
    <w:name w:val="WW8Num12z0"/>
    <w:qFormat/>
    <w:rPr>
      <w:rFonts w:ascii="Wingdings" w:hAnsi="Wingdings" w:cs="Wingdings"/>
    </w:rPr>
  </w:style>
  <w:style w:type="character" w:customStyle="1" w:styleId="WW8Num13z0">
    <w:name w:val="WW8Num13z0"/>
    <w:qFormat/>
  </w:style>
  <w:style w:type="character" w:customStyle="1" w:styleId="WW8Num14z0">
    <w:name w:val="WW8Num14z0"/>
    <w:qFormat/>
    <w:rPr>
      <w:rFonts w:ascii="Wingdings" w:hAnsi="Wingdings" w:cs="Wingdings"/>
      <w:sz w:val="24"/>
    </w:rPr>
  </w:style>
  <w:style w:type="character" w:customStyle="1" w:styleId="WW8Num14z1">
    <w:name w:val="WW8Num14z1"/>
    <w:qFormat/>
    <w:rPr>
      <w:rFonts w:ascii="Wingdings" w:hAnsi="Wingdings" w:cs="Wingdings"/>
    </w:rPr>
  </w:style>
  <w:style w:type="character" w:customStyle="1" w:styleId="WW8Num15z0">
    <w:name w:val="WW8Num15z0"/>
    <w:qFormat/>
    <w:rPr>
      <w:rFonts w:ascii="Wingdings" w:hAnsi="Wingdings" w:cs="Wingdings"/>
    </w:rPr>
  </w:style>
  <w:style w:type="character" w:customStyle="1" w:styleId="WW8Num16z0">
    <w:name w:val="WW8Num16z0"/>
    <w:qFormat/>
    <w:rPr>
      <w:rFonts w:ascii="Wingdings" w:hAnsi="Wingdings" w:cs="Wingdings"/>
    </w:rPr>
  </w:style>
  <w:style w:type="character" w:customStyle="1" w:styleId="WW8Num17z0">
    <w:name w:val="WW8Num17z0"/>
    <w:qFormat/>
    <w:rPr>
      <w:rFonts w:ascii="Wingdings" w:hAnsi="Wingdings" w:cs="Wingdings"/>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rFonts w:ascii="Wingdings" w:hAnsi="Wingdings" w:cs="Wingdings"/>
    </w:rPr>
  </w:style>
  <w:style w:type="character" w:customStyle="1" w:styleId="WW8Num23z0">
    <w:name w:val="WW8Num23z0"/>
    <w:qFormat/>
    <w:rPr>
      <w:rFonts w:ascii="Wingdings" w:hAnsi="Wingdings" w:cs="Wingdings"/>
    </w:rPr>
  </w:style>
  <w:style w:type="character" w:customStyle="1" w:styleId="WW8Num24z0">
    <w:name w:val="WW8Num24z0"/>
    <w:qFormat/>
    <w:rPr>
      <w:rFonts w:ascii="Wingdings" w:hAnsi="Wingdings" w:cs="Wingdings"/>
    </w:rPr>
  </w:style>
  <w:style w:type="character" w:customStyle="1" w:styleId="WW8Num24z1">
    <w:name w:val="WW8Num24z1"/>
    <w:qFormat/>
  </w:style>
  <w:style w:type="character" w:customStyle="1" w:styleId="WW8Num25z0">
    <w:name w:val="WW8Num25z0"/>
    <w:qFormat/>
    <w:rPr>
      <w:rFonts w:ascii="Wingdings" w:hAnsi="Wingdings" w:cs="Wingdings"/>
    </w:rPr>
  </w:style>
  <w:style w:type="character" w:customStyle="1" w:styleId="WW8Num26z0">
    <w:name w:val="WW8Num26z0"/>
    <w:qFormat/>
    <w:rPr>
      <w:rFonts w:ascii="Symbol" w:hAnsi="Symbol" w:cs="Symbol"/>
      <w:sz w:val="20"/>
    </w:rPr>
  </w:style>
  <w:style w:type="character" w:customStyle="1" w:styleId="WW8Num26z1">
    <w:name w:val="WW8Num26z1"/>
    <w:qFormat/>
    <w:rPr>
      <w:rFonts w:ascii="Courier New" w:hAnsi="Courier New" w:cs="Courier New"/>
      <w:sz w:val="20"/>
    </w:rPr>
  </w:style>
  <w:style w:type="character" w:customStyle="1" w:styleId="WW8Num26z2">
    <w:name w:val="WW8Num26z2"/>
    <w:qFormat/>
    <w:rPr>
      <w:rFonts w:ascii="Wingdings" w:hAnsi="Wingdings" w:cs="Wingdings"/>
      <w:sz w:val="20"/>
    </w:rPr>
  </w:style>
  <w:style w:type="character" w:customStyle="1" w:styleId="WW8Num28z0">
    <w:name w:val="WW8Num28z0"/>
    <w:qFormat/>
    <w:rPr>
      <w:lang w:val="en-US"/>
    </w:rPr>
  </w:style>
  <w:style w:type="character" w:customStyle="1" w:styleId="WW8Num29z0">
    <w:name w:val="WW8Num29z0"/>
    <w:qFormat/>
    <w:rPr>
      <w:rFonts w:ascii="Symbol" w:hAnsi="Symbol" w:cs="Symbol"/>
      <w:sz w:val="20"/>
    </w:rPr>
  </w:style>
  <w:style w:type="character" w:customStyle="1" w:styleId="WW8Num29z1">
    <w:name w:val="WW8Num29z1"/>
    <w:qFormat/>
    <w:rPr>
      <w:rFonts w:ascii="Courier New" w:hAnsi="Courier New" w:cs="Courier New"/>
      <w:sz w:val="20"/>
    </w:rPr>
  </w:style>
  <w:style w:type="character" w:customStyle="1" w:styleId="WW8Num29z2">
    <w:name w:val="WW8Num29z2"/>
    <w:qFormat/>
    <w:rPr>
      <w:rFonts w:ascii="Wingdings" w:hAnsi="Wingdings" w:cs="Wingdings"/>
      <w:sz w:val="20"/>
    </w:rPr>
  </w:style>
  <w:style w:type="character" w:customStyle="1" w:styleId="WW8Num30z0">
    <w:name w:val="WW8Num30z0"/>
    <w:qFormat/>
  </w:style>
  <w:style w:type="character" w:customStyle="1" w:styleId="WW8Num31z0">
    <w:name w:val="WW8Num31z0"/>
    <w:qFormat/>
  </w:style>
  <w:style w:type="character" w:customStyle="1" w:styleId="WW8Num32z0">
    <w:name w:val="WW8Num32z0"/>
    <w:qFormat/>
  </w:style>
  <w:style w:type="character" w:customStyle="1" w:styleId="WW8Num33z0">
    <w:name w:val="WW8Num33z0"/>
    <w:qFormat/>
  </w:style>
  <w:style w:type="character" w:customStyle="1" w:styleId="10">
    <w:name w:val="標題 1 字元"/>
    <w:qFormat/>
    <w:rPr>
      <w:rFonts w:ascii="Cambria" w:eastAsia="新細明體;PMingLiU" w:hAnsi="Cambria" w:cs="Times New Roman"/>
      <w:b/>
      <w:bCs/>
      <w:kern w:val="2"/>
      <w:sz w:val="52"/>
      <w:szCs w:val="52"/>
    </w:rPr>
  </w:style>
  <w:style w:type="character" w:customStyle="1" w:styleId="30">
    <w:name w:val="標題 3 字元"/>
    <w:qFormat/>
    <w:rPr>
      <w:rFonts w:ascii="Cambria" w:eastAsia="新細明體;PMingLiU" w:hAnsi="Cambria" w:cs="Times New Roman"/>
      <w:b/>
      <w:bCs/>
      <w:sz w:val="36"/>
      <w:szCs w:val="36"/>
    </w:rPr>
  </w:style>
  <w:style w:type="character" w:customStyle="1" w:styleId="a3">
    <w:name w:val="頁首 字元"/>
    <w:qFormat/>
    <w:rPr>
      <w:rFonts w:ascii="Times New Roman" w:eastAsia="新細明體;PMingLiU" w:hAnsi="Times New Roman" w:cs="Times New Roman"/>
      <w:sz w:val="20"/>
      <w:szCs w:val="20"/>
    </w:rPr>
  </w:style>
  <w:style w:type="character" w:customStyle="1" w:styleId="a4">
    <w:name w:val="頁尾 字元"/>
    <w:qFormat/>
    <w:rPr>
      <w:rFonts w:ascii="Times New Roman" w:eastAsia="新細明體;PMingLiU" w:hAnsi="Times New Roman" w:cs="Times New Roman"/>
      <w:sz w:val="20"/>
      <w:szCs w:val="20"/>
    </w:rPr>
  </w:style>
  <w:style w:type="character" w:customStyle="1" w:styleId="Default">
    <w:name w:val="Default 字元"/>
    <w:qFormat/>
    <w:rPr>
      <w:rFonts w:ascii="標楷體" w:hAnsi="標楷體" w:cs="標楷體"/>
      <w:color w:val="000000"/>
      <w:kern w:val="0"/>
      <w:szCs w:val="24"/>
    </w:rPr>
  </w:style>
  <w:style w:type="character" w:customStyle="1" w:styleId="EndNoteBibliography">
    <w:name w:val="EndNote Bibliography 字元"/>
    <w:qFormat/>
    <w:rPr>
      <w:rFonts w:ascii="新細明體;PMingLiU" w:eastAsia="新細明體;PMingLiU" w:hAnsi="新細明體;PMingLiU" w:cs="新細明體;PMingLiU"/>
      <w:color w:val="000000"/>
      <w:kern w:val="0"/>
      <w:szCs w:val="24"/>
      <w:lang w:val="en-US" w:eastAsia="en-US"/>
    </w:rPr>
  </w:style>
  <w:style w:type="character" w:customStyle="1" w:styleId="a5">
    <w:name w:val="註解方塊文字 字元"/>
    <w:qFormat/>
    <w:rPr>
      <w:rFonts w:ascii="Cambria" w:eastAsia="新細明體;PMingLiU" w:hAnsi="Cambria" w:cs="Times New Roman"/>
      <w:sz w:val="18"/>
      <w:szCs w:val="18"/>
    </w:rPr>
  </w:style>
  <w:style w:type="paragraph" w:customStyle="1" w:styleId="Heading">
    <w:name w:val="Heading"/>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next w:val="a"/>
    <w:qFormat/>
    <w:rPr>
      <w:rFonts w:ascii="Calibri" w:hAnsi="Calibri"/>
      <w:sz w:val="20"/>
    </w:rPr>
  </w:style>
  <w:style w:type="paragraph" w:customStyle="1" w:styleId="Index">
    <w:name w:val="Index"/>
    <w:basedOn w:val="a"/>
    <w:qFormat/>
    <w:pPr>
      <w:suppressLineNumbers/>
    </w:pPr>
    <w:rPr>
      <w:rFonts w:cs="Lohit Devanagari"/>
    </w:rPr>
  </w:style>
  <w:style w:type="paragraph" w:customStyle="1" w:styleId="a9">
    <w:name w:val="合約"/>
    <w:basedOn w:val="a"/>
    <w:qFormat/>
    <w:pPr>
      <w:spacing w:before="120" w:after="120"/>
    </w:pPr>
    <w:rPr>
      <w:rFonts w:eastAsia="標楷體"/>
    </w:rPr>
  </w:style>
  <w:style w:type="paragraph" w:customStyle="1" w:styleId="HeaderandFooter">
    <w:name w:val="Header and Footer"/>
    <w:basedOn w:val="a"/>
    <w:qFormat/>
    <w:pPr>
      <w:suppressLineNumbers/>
      <w:tabs>
        <w:tab w:val="center" w:pos="4819"/>
        <w:tab w:val="right" w:pos="9638"/>
      </w:tabs>
    </w:pPr>
  </w:style>
  <w:style w:type="paragraph" w:styleId="aa">
    <w:name w:val="header"/>
    <w:basedOn w:val="a"/>
    <w:pPr>
      <w:snapToGrid w:val="0"/>
    </w:pPr>
    <w:rPr>
      <w:sz w:val="20"/>
    </w:rPr>
  </w:style>
  <w:style w:type="paragraph" w:styleId="ab">
    <w:name w:val="footer"/>
    <w:basedOn w:val="a"/>
    <w:pPr>
      <w:snapToGrid w:val="0"/>
    </w:pPr>
    <w:rPr>
      <w:sz w:val="20"/>
    </w:rPr>
  </w:style>
  <w:style w:type="paragraph" w:customStyle="1" w:styleId="Default0">
    <w:name w:val="Default"/>
    <w:qFormat/>
    <w:pPr>
      <w:widowControl w:val="0"/>
      <w:suppressAutoHyphens/>
      <w:autoSpaceDE w:val="0"/>
    </w:pPr>
    <w:rPr>
      <w:rFonts w:ascii="標楷體" w:eastAsia="新細明體;PMingLiU" w:hAnsi="標楷體" w:cs="標楷體"/>
      <w:color w:val="000000"/>
      <w:sz w:val="24"/>
      <w:szCs w:val="24"/>
    </w:rPr>
  </w:style>
  <w:style w:type="paragraph" w:customStyle="1" w:styleId="EndNoteBibliography0">
    <w:name w:val="EndNote Bibliography"/>
    <w:basedOn w:val="a"/>
    <w:qFormat/>
    <w:pPr>
      <w:widowControl/>
    </w:pPr>
    <w:rPr>
      <w:rFonts w:ascii="新細明體;PMingLiU" w:hAnsi="新細明體;PMingLiU" w:cs="新細明體;PMingLiU"/>
      <w:color w:val="000000"/>
      <w:kern w:val="0"/>
      <w:szCs w:val="24"/>
      <w:lang w:eastAsia="en-US"/>
    </w:rPr>
  </w:style>
  <w:style w:type="paragraph" w:styleId="ac">
    <w:name w:val="Balloon Text"/>
    <w:basedOn w:val="a"/>
    <w:qFormat/>
    <w:rPr>
      <w:rFonts w:ascii="Cambria" w:hAnsi="Cambria"/>
      <w:sz w:val="18"/>
      <w:szCs w:val="18"/>
    </w:rPr>
  </w:style>
  <w:style w:type="paragraph" w:styleId="ad">
    <w:name w:val="List Paragraph"/>
    <w:basedOn w:val="a"/>
    <w:qFormat/>
    <w:pPr>
      <w:ind w:left="480"/>
    </w:pPr>
  </w:style>
  <w:style w:type="paragraph" w:styleId="Web">
    <w:name w:val="Normal (Web)"/>
    <w:basedOn w:val="a"/>
    <w:qFormat/>
    <w:pPr>
      <w:widowControl/>
      <w:spacing w:before="280" w:after="280"/>
    </w:pPr>
    <w:rPr>
      <w:rFonts w:ascii="新細明體;PMingLiU" w:hAnsi="新細明體;PMingLiU" w:cs="新細明體;PMingLiU"/>
      <w:kern w:val="0"/>
      <w:szCs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細明體"/>
        <a:cs typeface="DejaVu Sans"/>
      </a:majorFont>
      <a:minorFont>
        <a:latin typeface="Arial"/>
        <a:ea typeface="新細明體"/>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159</Words>
  <Characters>908</Characters>
  <Application>Microsoft Office Word</Application>
  <DocSecurity>0</DocSecurity>
  <Lines>7</Lines>
  <Paragraphs>2</Paragraphs>
  <ScaleCrop>false</ScaleCrop>
  <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840203</dc:creator>
  <cp:keywords/>
  <dc:description/>
  <cp:lastModifiedBy>莊煒宜</cp:lastModifiedBy>
  <cp:revision>17</cp:revision>
  <cp:lastPrinted>2018-08-28T15:11:00Z</cp:lastPrinted>
  <dcterms:created xsi:type="dcterms:W3CDTF">2026-06-29T01:32:00Z</dcterms:created>
  <dcterms:modified xsi:type="dcterms:W3CDTF">2026-10-20T02:44:00Z</dcterms:modified>
  <dc:language>en-US</dc:language>
</cp:coreProperties>
</file>