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ED1E0" w14:textId="7D8C394C" w:rsidR="00753C81" w:rsidRPr="00753C81" w:rsidRDefault="00455B38" w:rsidP="00753C81">
      <w:pPr>
        <w:jc w:val="center"/>
        <w:rPr>
          <w:rFonts w:ascii="Times New Roman" w:eastAsia="微軟正黑體" w:hAnsi="Times New Roman" w:cs="Times New Roman"/>
          <w:b/>
          <w:bCs/>
          <w:sz w:val="36"/>
          <w:szCs w:val="36"/>
        </w:rPr>
      </w:pPr>
      <w:r w:rsidRPr="00455B38">
        <w:rPr>
          <w:rFonts w:ascii="Times New Roman" w:eastAsia="微軟正黑體" w:hAnsi="Times New Roman" w:cs="Times New Roman"/>
          <w:b/>
          <w:bCs/>
          <w:sz w:val="36"/>
          <w:szCs w:val="36"/>
        </w:rPr>
        <w:t>高效能型機邊工作站</w:t>
      </w:r>
      <w:r w:rsidR="004F4493" w:rsidRPr="004F4493">
        <w:rPr>
          <w:rFonts w:ascii="Times New Roman" w:eastAsia="微軟正黑體" w:hAnsi="Times New Roman" w:cs="Times New Roman"/>
          <w:b/>
          <w:bCs/>
          <w:sz w:val="36"/>
          <w:szCs w:val="36"/>
        </w:rPr>
        <w:t>委託安裝</w:t>
      </w:r>
    </w:p>
    <w:p w14:paraId="6AE1C42D" w14:textId="53FF3247" w:rsidR="00753C81" w:rsidRPr="00753C81" w:rsidRDefault="00647F2E" w:rsidP="00753C81">
      <w:pPr>
        <w:pStyle w:val="a9"/>
        <w:widowControl/>
        <w:numPr>
          <w:ilvl w:val="0"/>
          <w:numId w:val="3"/>
        </w:numPr>
        <w:spacing w:after="0" w:line="0" w:lineRule="atLeast"/>
        <w:contextualSpacing w:val="0"/>
        <w:rPr>
          <w:rFonts w:ascii="Times New Roman" w:eastAsia="微軟正黑體" w:hAnsi="Times New Roman" w:cs="Times New Roman"/>
          <w:b/>
        </w:rPr>
      </w:pPr>
      <w:r>
        <w:rPr>
          <w:rFonts w:ascii="Times New Roman" w:eastAsia="微軟正黑體" w:hAnsi="Times New Roman" w:cs="Times New Roman" w:hint="eastAsia"/>
          <w:b/>
        </w:rPr>
        <w:t>採購說明</w:t>
      </w:r>
      <w:r w:rsidR="00753C81" w:rsidRPr="00753C81">
        <w:rPr>
          <w:rFonts w:ascii="Times New Roman" w:eastAsia="微軟正黑體" w:hAnsi="Times New Roman" w:cs="Times New Roman"/>
          <w:b/>
        </w:rPr>
        <w:t>：</w:t>
      </w:r>
      <w:r>
        <w:rPr>
          <w:rFonts w:ascii="Times New Roman" w:eastAsia="微軟正黑體" w:hAnsi="Times New Roman" w:cs="Times New Roman" w:hint="eastAsia"/>
          <w:b/>
        </w:rPr>
        <w:t>用於</w:t>
      </w:r>
      <w:r w:rsidR="00E65BBB">
        <w:rPr>
          <w:rFonts w:ascii="Times New Roman" w:eastAsia="微軟正黑體" w:hAnsi="Times New Roman" w:cs="Times New Roman" w:hint="eastAsia"/>
          <w:b/>
        </w:rPr>
        <w:t>共用型碳足跡</w:t>
      </w:r>
      <w:r w:rsidR="00E65BBB">
        <w:rPr>
          <w:rFonts w:ascii="Times New Roman" w:eastAsia="微軟正黑體" w:hAnsi="Times New Roman" w:cs="Times New Roman" w:hint="eastAsia"/>
          <w:b/>
        </w:rPr>
        <w:t>ESG</w:t>
      </w:r>
      <w:r w:rsidR="00E65BBB">
        <w:rPr>
          <w:rFonts w:ascii="Times New Roman" w:eastAsia="微軟正黑體" w:hAnsi="Times New Roman" w:cs="Times New Roman" w:hint="eastAsia"/>
          <w:b/>
        </w:rPr>
        <w:t>報告模型訓練</w:t>
      </w:r>
      <w:r>
        <w:rPr>
          <w:rFonts w:ascii="Times New Roman" w:eastAsia="微軟正黑體" w:hAnsi="Times New Roman" w:cs="Times New Roman" w:hint="eastAsia"/>
          <w:b/>
        </w:rPr>
        <w:t>之</w:t>
      </w:r>
      <w:r w:rsidR="00455B38" w:rsidRPr="00455B38">
        <w:rPr>
          <w:rFonts w:ascii="Times New Roman" w:eastAsia="微軟正黑體" w:hAnsi="Times New Roman" w:cs="Times New Roman"/>
          <w:b/>
        </w:rPr>
        <w:t>高效能型機邊工作站</w:t>
      </w:r>
    </w:p>
    <w:p w14:paraId="30400D99" w14:textId="47A19E90" w:rsidR="00753C81" w:rsidRPr="00753C81" w:rsidRDefault="00753C81" w:rsidP="00753C81">
      <w:pPr>
        <w:pStyle w:val="a9"/>
        <w:widowControl/>
        <w:numPr>
          <w:ilvl w:val="0"/>
          <w:numId w:val="3"/>
        </w:numPr>
        <w:spacing w:after="0" w:line="0" w:lineRule="atLeast"/>
        <w:contextualSpacing w:val="0"/>
        <w:rPr>
          <w:rFonts w:ascii="Times New Roman" w:eastAsia="微軟正黑體" w:hAnsi="Times New Roman" w:cs="Times New Roman"/>
          <w:b/>
          <w:bCs/>
        </w:rPr>
      </w:pPr>
      <w:r w:rsidRPr="00753C81">
        <w:rPr>
          <w:rFonts w:ascii="Times New Roman" w:eastAsia="微軟正黑體" w:hAnsi="Times New Roman" w:cs="Times New Roman"/>
          <w:b/>
          <w:bCs/>
        </w:rPr>
        <w:t>規格：</w:t>
      </w:r>
    </w:p>
    <w:p w14:paraId="1EB3DAFF" w14:textId="7BEC0CA3" w:rsidR="00753C81" w:rsidRDefault="004F4493" w:rsidP="00AA0B54">
      <w:pPr>
        <w:jc w:val="center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/>
          <w:noProof/>
        </w:rPr>
        <w:drawing>
          <wp:inline distT="0" distB="0" distL="0" distR="0" wp14:anchorId="5BEA7AD9" wp14:editId="4D77AF2C">
            <wp:extent cx="2391109" cy="1228896"/>
            <wp:effectExtent l="0" t="0" r="9525" b="0"/>
            <wp:docPr id="98226394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2639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4493">
        <w:rPr>
          <w:rFonts w:ascii="Times New Roman" w:eastAsia="微軟正黑體" w:hAnsi="Times New Roman" w:cs="Times New Roman"/>
          <w:noProof/>
        </w:rPr>
        <w:drawing>
          <wp:inline distT="0" distB="0" distL="0" distR="0" wp14:anchorId="29ADBF27" wp14:editId="098B116A">
            <wp:extent cx="2514951" cy="1247949"/>
            <wp:effectExtent l="0" t="0" r="0" b="9525"/>
            <wp:docPr id="11317591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75917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F369D" w14:textId="0D997886" w:rsidR="004F4493" w:rsidRPr="004F4493" w:rsidRDefault="004F1D7D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 xml:space="preserve">1. </w:t>
      </w:r>
      <w:r>
        <w:rPr>
          <w:rFonts w:ascii="Times New Roman" w:eastAsia="微軟正黑體" w:hAnsi="Times New Roman" w:cs="Times New Roman" w:hint="eastAsia"/>
        </w:rPr>
        <w:t>名稱：</w:t>
      </w:r>
      <w:r w:rsidR="004F4493" w:rsidRPr="004F4493">
        <w:rPr>
          <w:rFonts w:ascii="Times New Roman" w:eastAsia="微軟正黑體" w:hAnsi="Times New Roman" w:cs="Times New Roman" w:hint="eastAsia"/>
        </w:rPr>
        <w:t>華碩</w:t>
      </w:r>
      <w:r w:rsidR="004F4493" w:rsidRPr="004F4493">
        <w:rPr>
          <w:rFonts w:ascii="Times New Roman" w:eastAsia="微軟正黑體" w:hAnsi="Times New Roman" w:cs="Times New Roman" w:hint="eastAsia"/>
        </w:rPr>
        <w:t xml:space="preserve"> ASUS Ascent GX10</w:t>
      </w:r>
    </w:p>
    <w:p w14:paraId="20EF0E50" w14:textId="77777777" w:rsidR="004F4493" w:rsidRPr="004F4493" w:rsidRDefault="004F4493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 w:hint="eastAsia"/>
        </w:rPr>
        <w:t>●處理器：</w:t>
      </w:r>
      <w:r w:rsidRPr="004F4493">
        <w:rPr>
          <w:rFonts w:ascii="Times New Roman" w:eastAsia="微軟正黑體" w:hAnsi="Times New Roman" w:cs="Times New Roman" w:hint="eastAsia"/>
        </w:rPr>
        <w:t>ARM v9.2-A</w:t>
      </w:r>
    </w:p>
    <w:p w14:paraId="0E04CE69" w14:textId="77777777" w:rsidR="004F4493" w:rsidRPr="004F4493" w:rsidRDefault="004F4493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 w:hint="eastAsia"/>
        </w:rPr>
        <w:t>●顯示卡：</w:t>
      </w:r>
      <w:r w:rsidRPr="004F4493">
        <w:rPr>
          <w:rFonts w:ascii="Times New Roman" w:eastAsia="微軟正黑體" w:hAnsi="Times New Roman" w:cs="Times New Roman" w:hint="eastAsia"/>
        </w:rPr>
        <w:t>NVIDIA Blackwell iGPU (GB10)</w:t>
      </w:r>
    </w:p>
    <w:p w14:paraId="696F4039" w14:textId="77777777" w:rsidR="004F4493" w:rsidRPr="004F4493" w:rsidRDefault="004F4493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 w:hint="eastAsia"/>
        </w:rPr>
        <w:t>●記憶體：</w:t>
      </w:r>
      <w:r w:rsidRPr="004F4493">
        <w:rPr>
          <w:rFonts w:ascii="Times New Roman" w:eastAsia="微軟正黑體" w:hAnsi="Times New Roman" w:cs="Times New Roman" w:hint="eastAsia"/>
        </w:rPr>
        <w:t>128G LPDDR5X</w:t>
      </w:r>
    </w:p>
    <w:p w14:paraId="6BFFBFBE" w14:textId="77777777" w:rsidR="004F4493" w:rsidRPr="004F4493" w:rsidRDefault="004F4493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 w:hint="eastAsia"/>
        </w:rPr>
        <w:t>●儲存：</w:t>
      </w:r>
      <w:r w:rsidRPr="004F4493">
        <w:rPr>
          <w:rFonts w:ascii="Times New Roman" w:eastAsia="微軟正黑體" w:hAnsi="Times New Roman" w:cs="Times New Roman" w:hint="eastAsia"/>
        </w:rPr>
        <w:t>1TB PCIe SSD</w:t>
      </w:r>
    </w:p>
    <w:p w14:paraId="4C4C239B" w14:textId="4D6BD196" w:rsidR="004F4493" w:rsidRDefault="004F4493" w:rsidP="004F4493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  <w:r w:rsidRPr="004F4493">
        <w:rPr>
          <w:rFonts w:ascii="Times New Roman" w:eastAsia="微軟正黑體" w:hAnsi="Times New Roman" w:cs="Times New Roman" w:hint="eastAsia"/>
        </w:rPr>
        <w:t>●作業：</w:t>
      </w:r>
      <w:r w:rsidRPr="004F4493">
        <w:rPr>
          <w:rFonts w:ascii="Times New Roman" w:eastAsia="微軟正黑體" w:hAnsi="Times New Roman" w:cs="Times New Roman" w:hint="eastAsia"/>
        </w:rPr>
        <w:t>NVDIA DGX</w:t>
      </w:r>
    </w:p>
    <w:p w14:paraId="7AEDE7F1" w14:textId="77777777" w:rsidR="00735209" w:rsidRDefault="00735209" w:rsidP="00735209">
      <w:pPr>
        <w:widowControl/>
        <w:spacing w:after="0" w:line="0" w:lineRule="atLeast"/>
        <w:rPr>
          <w:rFonts w:ascii="Times New Roman" w:eastAsia="微軟正黑體" w:hAnsi="Times New Roman" w:cs="Times New Roman"/>
        </w:rPr>
      </w:pPr>
    </w:p>
    <w:p w14:paraId="13EB65FE" w14:textId="4E5390FA" w:rsidR="00E65BBB" w:rsidRPr="0007540D" w:rsidRDefault="004F1D7D" w:rsidP="00735209">
      <w:pPr>
        <w:widowControl/>
        <w:spacing w:after="0" w:line="0" w:lineRule="atLeast"/>
        <w:rPr>
          <w:rFonts w:ascii="微軟正黑體" w:eastAsia="微軟正黑體" w:hAnsi="微軟正黑體" w:cs="Times New Roman"/>
        </w:rPr>
      </w:pPr>
      <w:r w:rsidRPr="0007540D">
        <w:rPr>
          <w:rFonts w:ascii="微軟正黑體" w:eastAsia="微軟正黑體" w:hAnsi="微軟正黑體" w:cs="Times New Roman" w:hint="eastAsia"/>
        </w:rPr>
        <w:t>2. 委託安裝</w:t>
      </w:r>
      <w:r w:rsidR="00E65BBB" w:rsidRPr="0007540D">
        <w:rPr>
          <w:rFonts w:ascii="微軟正黑體" w:eastAsia="微軟正黑體" w:hAnsi="微軟正黑體" w:cs="Times New Roman" w:hint="eastAsia"/>
        </w:rPr>
        <w:t>共用型碳足跡ESG報告模型</w:t>
      </w:r>
      <w:r w:rsidR="00172550">
        <w:rPr>
          <w:rFonts w:ascii="微軟正黑體" w:eastAsia="微軟正黑體" w:hAnsi="微軟正黑體" w:cs="Times New Roman" w:hint="eastAsia"/>
        </w:rPr>
        <w:t>，模型</w:t>
      </w:r>
      <w:r w:rsidR="00913092">
        <w:rPr>
          <w:rFonts w:ascii="微軟正黑體" w:eastAsia="微軟正黑體" w:hAnsi="微軟正黑體" w:cs="Times New Roman" w:hint="eastAsia"/>
        </w:rPr>
        <w:t>需</w:t>
      </w:r>
      <w:r w:rsidR="00172550">
        <w:rPr>
          <w:rFonts w:ascii="微軟正黑體" w:eastAsia="微軟正黑體" w:hAnsi="微軟正黑體" w:cs="Times New Roman" w:hint="eastAsia"/>
        </w:rPr>
        <w:t>包含之標題如下</w:t>
      </w:r>
      <w:r w:rsidR="00E65BBB" w:rsidRPr="0007540D">
        <w:rPr>
          <w:rFonts w:ascii="微軟正黑體" w:eastAsia="微軟正黑體" w:hAnsi="微軟正黑體" w:cs="Times New Roman" w:hint="eastAsia"/>
        </w:rPr>
        <w:t>：</w:t>
      </w:r>
    </w:p>
    <w:p w14:paraId="534A5598" w14:textId="77777777" w:rsidR="0007540D" w:rsidRDefault="0007540D" w:rsidP="0007540D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07540D">
        <w:rPr>
          <w:rFonts w:ascii="微軟正黑體" w:eastAsia="微軟正黑體" w:hAnsi="微軟正黑體"/>
        </w:rPr>
        <w:t>產品及企業基本資料建置功能</w:t>
      </w:r>
    </w:p>
    <w:p w14:paraId="1F87C7DE" w14:textId="7E6FCBCF" w:rsidR="00E5479B" w:rsidRPr="0007540D" w:rsidRDefault="00E5479B" w:rsidP="00E5479B">
      <w:pPr>
        <w:pStyle w:val="a9"/>
        <w:widowControl/>
        <w:numPr>
          <w:ilvl w:val="1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E5479B">
        <w:rPr>
          <w:rFonts w:ascii="微軟正黑體" w:eastAsia="微軟正黑體" w:hAnsi="微軟正黑體" w:hint="eastAsia"/>
        </w:rPr>
        <w:t>公司與報告基本資料</w:t>
      </w:r>
    </w:p>
    <w:p w14:paraId="3406036A" w14:textId="77777777" w:rsidR="0007540D" w:rsidRDefault="0007540D" w:rsidP="0007540D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07540D">
        <w:rPr>
          <w:rFonts w:ascii="微軟正黑體" w:eastAsia="微軟正黑體" w:hAnsi="微軟正黑體"/>
        </w:rPr>
        <w:t>產品碳足跡目標與系統邊界設定功能</w:t>
      </w:r>
    </w:p>
    <w:p w14:paraId="4857BFC0" w14:textId="1AE6B037" w:rsidR="00E5479B" w:rsidRPr="0007540D" w:rsidRDefault="00E5479B" w:rsidP="00E5479B">
      <w:pPr>
        <w:pStyle w:val="a9"/>
        <w:widowControl/>
        <w:numPr>
          <w:ilvl w:val="0"/>
          <w:numId w:val="6"/>
        </w:numPr>
        <w:spacing w:after="0" w:line="0" w:lineRule="atLeast"/>
        <w:rPr>
          <w:rFonts w:ascii="微軟正黑體" w:eastAsia="微軟正黑體" w:hAnsi="微軟正黑體" w:hint="eastAsia"/>
        </w:rPr>
      </w:pPr>
      <w:r w:rsidRPr="00E5479B">
        <w:rPr>
          <w:rFonts w:ascii="微軟正黑體" w:eastAsia="微軟正黑體" w:hAnsi="微軟正黑體" w:hint="eastAsia"/>
        </w:rPr>
        <w:t>研究目的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納入的生命週期階段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未納入階段與理由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時間界限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地理界限系統界限補充說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明製程流程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主要排除項目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製程廢棄物與處理方式</w:t>
      </w:r>
    </w:p>
    <w:p w14:paraId="2BAD9C6D" w14:textId="7EA8FD30" w:rsidR="0007540D" w:rsidRDefault="0007540D" w:rsidP="0007540D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07540D">
        <w:rPr>
          <w:rFonts w:ascii="微軟正黑體" w:eastAsia="微軟正黑體" w:hAnsi="微軟正黑體"/>
        </w:rPr>
        <w:t>活動數據盤查及佐證資料管理功能</w:t>
      </w:r>
    </w:p>
    <w:p w14:paraId="40F3DC3A" w14:textId="65E5F4A9" w:rsidR="00E5479B" w:rsidRPr="0007540D" w:rsidRDefault="00E5479B" w:rsidP="00E5479B">
      <w:pPr>
        <w:pStyle w:val="a9"/>
        <w:widowControl/>
        <w:numPr>
          <w:ilvl w:val="0"/>
          <w:numId w:val="6"/>
        </w:numPr>
        <w:spacing w:after="0" w:line="0" w:lineRule="atLeast"/>
        <w:rPr>
          <w:rFonts w:ascii="微軟正黑體" w:eastAsia="微軟正黑體" w:hAnsi="微軟正黑體" w:hint="eastAsia"/>
        </w:rPr>
      </w:pPr>
      <w:r w:rsidRPr="00E5479B">
        <w:rPr>
          <w:rFonts w:ascii="微軟正黑體" w:eastAsia="微軟正黑體" w:hAnsi="微軟正黑體" w:hint="eastAsia"/>
        </w:rPr>
        <w:t>匯入盤查 Excel</w:t>
      </w:r>
      <w:r>
        <w:rPr>
          <w:rFonts w:ascii="微軟正黑體" w:eastAsia="微軟正黑體" w:hAnsi="微軟正黑體" w:hint="eastAsia"/>
        </w:rPr>
        <w:t>﹅</w:t>
      </w:r>
      <w:r w:rsidRPr="00E5479B">
        <w:rPr>
          <w:rFonts w:ascii="微軟正黑體" w:eastAsia="微軟正黑體" w:hAnsi="微軟正黑體" w:hint="eastAsia"/>
        </w:rPr>
        <w:t>活動數據佐證檔案</w:t>
      </w:r>
    </w:p>
    <w:p w14:paraId="35F14D3D" w14:textId="77777777" w:rsidR="0007540D" w:rsidRDefault="0007540D" w:rsidP="0007540D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07540D">
        <w:rPr>
          <w:rFonts w:ascii="微軟正黑體" w:eastAsia="微軟正黑體" w:hAnsi="微軟正黑體"/>
        </w:rPr>
        <w:t>碳足跡計算、數據品質及不確定性分析功能</w:t>
      </w:r>
    </w:p>
    <w:p w14:paraId="67594A45" w14:textId="007C157A" w:rsidR="00172550" w:rsidRPr="0007540D" w:rsidRDefault="00172550" w:rsidP="00172550">
      <w:pPr>
        <w:pStyle w:val="a9"/>
        <w:widowControl/>
        <w:numPr>
          <w:ilvl w:val="0"/>
          <w:numId w:val="6"/>
        </w:numPr>
        <w:spacing w:after="0" w:line="0" w:lineRule="atLeast"/>
        <w:rPr>
          <w:rFonts w:ascii="微軟正黑體" w:eastAsia="微軟正黑體" w:hAnsi="微軟正黑體" w:hint="eastAsia"/>
        </w:rPr>
      </w:pPr>
      <w:r w:rsidRPr="00172550">
        <w:rPr>
          <w:rFonts w:ascii="微軟正黑體" w:eastAsia="微軟正黑體" w:hAnsi="微軟正黑體" w:hint="eastAsia"/>
        </w:rPr>
        <w:t>計算方法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GWP 來源／版本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排放係數資料庫／版本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總碳足跡（kg CO</w:t>
      </w:r>
      <w:r w:rsidRPr="00172550">
        <w:rPr>
          <w:rFonts w:ascii="Cambria Math" w:eastAsia="微軟正黑體" w:hAnsi="Cambria Math" w:cs="Cambria Math"/>
        </w:rPr>
        <w:t>₂</w:t>
      </w:r>
      <w:r w:rsidRPr="00172550">
        <w:rPr>
          <w:rFonts w:ascii="微軟正黑體" w:eastAsia="微軟正黑體" w:hAnsi="微軟正黑體" w:hint="eastAsia"/>
        </w:rPr>
        <w:t>e／宣告單位）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原料取得階段排放量（kg CO</w:t>
      </w:r>
      <w:r w:rsidRPr="00172550">
        <w:rPr>
          <w:rFonts w:ascii="Cambria Math" w:eastAsia="微軟正黑體" w:hAnsi="Cambria Math" w:cs="Cambria Math"/>
        </w:rPr>
        <w:t>₂</w:t>
      </w:r>
      <w:r w:rsidRPr="00172550">
        <w:rPr>
          <w:rFonts w:ascii="微軟正黑體" w:eastAsia="微軟正黑體" w:hAnsi="微軟正黑體" w:hint="eastAsia"/>
        </w:rPr>
        <w:t>e／宣告單位）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製造／服務階段排放量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各生命週期階段計算摘要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數據品質評</w:t>
      </w:r>
      <w:r>
        <w:rPr>
          <w:rFonts w:ascii="微軟正黑體" w:eastAsia="微軟正黑體" w:hAnsi="微軟正黑體" w:hint="eastAsia"/>
        </w:rPr>
        <w:t>估</w:t>
      </w:r>
    </w:p>
    <w:p w14:paraId="35572D8A" w14:textId="27D2ADEA" w:rsidR="00E65BBB" w:rsidRDefault="0007540D" w:rsidP="0007540D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</w:rPr>
      </w:pPr>
      <w:r w:rsidRPr="0007540D">
        <w:rPr>
          <w:rFonts w:ascii="微軟正黑體" w:eastAsia="微軟正黑體" w:hAnsi="微軟正黑體"/>
        </w:rPr>
        <w:t>AI 資料檢核及碳足跡報告自動產生功能</w:t>
      </w:r>
    </w:p>
    <w:p w14:paraId="09FF631F" w14:textId="03933ACC" w:rsidR="00172550" w:rsidRDefault="00172550" w:rsidP="00172550">
      <w:pPr>
        <w:pStyle w:val="a9"/>
        <w:widowControl/>
        <w:numPr>
          <w:ilvl w:val="0"/>
          <w:numId w:val="6"/>
        </w:numPr>
        <w:spacing w:after="0" w:line="0" w:lineRule="atLeast"/>
        <w:rPr>
          <w:rFonts w:ascii="微軟正黑體" w:eastAsia="微軟正黑體" w:hAnsi="微軟正黑體"/>
        </w:rPr>
      </w:pPr>
      <w:r w:rsidRPr="00172550">
        <w:rPr>
          <w:rFonts w:ascii="微軟正黑體" w:eastAsia="微軟正黑體" w:hAnsi="微軟正黑體" w:hint="eastAsia"/>
        </w:rPr>
        <w:t>通用佐證附件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Gemini 檢查模式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AI 審查狀態</w:t>
      </w:r>
      <w:r>
        <w:rPr>
          <w:rFonts w:ascii="微軟正黑體" w:eastAsia="微軟正黑體" w:hAnsi="微軟正黑體" w:hint="eastAsia"/>
        </w:rPr>
        <w:t>﹅</w:t>
      </w:r>
      <w:r w:rsidRPr="00172550">
        <w:rPr>
          <w:rFonts w:ascii="微軟正黑體" w:eastAsia="微軟正黑體" w:hAnsi="微軟正黑體" w:hint="eastAsia"/>
        </w:rPr>
        <w:t>AI 檢查結果</w:t>
      </w:r>
    </w:p>
    <w:p w14:paraId="787FD712" w14:textId="63A9F858" w:rsidR="003E6518" w:rsidRPr="003E6518" w:rsidRDefault="003E6518" w:rsidP="003E6518">
      <w:pPr>
        <w:pStyle w:val="a9"/>
        <w:widowControl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報告</w:t>
      </w:r>
      <w:r w:rsidRPr="003E6518">
        <w:rPr>
          <w:rFonts w:ascii="微軟正黑體" w:eastAsia="微軟正黑體" w:hAnsi="微軟正黑體" w:hint="eastAsia"/>
        </w:rPr>
        <w:t>預覽與輸出</w:t>
      </w:r>
    </w:p>
    <w:p w14:paraId="210C1CCB" w14:textId="5B1D88D4" w:rsidR="00C6165B" w:rsidRPr="00C6165B" w:rsidRDefault="00C6165B" w:rsidP="00C6165B">
      <w:pPr>
        <w:widowControl/>
        <w:spacing w:after="0" w:line="0" w:lineRule="atLeast"/>
        <w:rPr>
          <w:rFonts w:ascii="微軟正黑體" w:eastAsia="微軟正黑體" w:hAnsi="微軟正黑體"/>
        </w:rPr>
      </w:pPr>
      <w:r w:rsidRPr="00C6165B">
        <w:rPr>
          <w:rFonts w:ascii="微軟正黑體" w:eastAsia="微軟正黑體" w:hAnsi="微軟正黑體"/>
          <w:noProof/>
        </w:rPr>
        <w:lastRenderedPageBreak/>
        <w:drawing>
          <wp:inline distT="0" distB="0" distL="0" distR="0" wp14:anchorId="17170330" wp14:editId="49F9CB69">
            <wp:extent cx="5274310" cy="2930525"/>
            <wp:effectExtent l="0" t="0" r="254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9BF6B" w14:textId="1F5C97C1" w:rsidR="00A46228" w:rsidRPr="00A46228" w:rsidRDefault="00753C81" w:rsidP="00A46228">
      <w:pPr>
        <w:pStyle w:val="a9"/>
        <w:widowControl/>
        <w:numPr>
          <w:ilvl w:val="0"/>
          <w:numId w:val="3"/>
        </w:numPr>
        <w:spacing w:after="0" w:line="0" w:lineRule="atLeast"/>
        <w:contextualSpacing w:val="0"/>
        <w:rPr>
          <w:rFonts w:ascii="Times New Roman" w:eastAsia="微軟正黑體" w:hAnsi="Times New Roman" w:cs="Times New Roman"/>
        </w:rPr>
      </w:pPr>
      <w:r w:rsidRPr="007275DD">
        <w:rPr>
          <w:rFonts w:ascii="Times New Roman" w:eastAsia="微軟正黑體" w:hAnsi="Times New Roman" w:cs="Times New Roman"/>
        </w:rPr>
        <w:t>驗收方式：</w:t>
      </w:r>
      <w:r w:rsidR="00E65BBB" w:rsidRPr="004F4493">
        <w:rPr>
          <w:rFonts w:ascii="Times New Roman" w:eastAsia="微軟正黑體" w:hAnsi="Times New Roman" w:cs="Times New Roman" w:hint="eastAsia"/>
        </w:rPr>
        <w:t>華碩</w:t>
      </w:r>
      <w:r w:rsidR="00E65BBB" w:rsidRPr="004F4493">
        <w:rPr>
          <w:rFonts w:ascii="Times New Roman" w:eastAsia="微軟正黑體" w:hAnsi="Times New Roman" w:cs="Times New Roman" w:hint="eastAsia"/>
        </w:rPr>
        <w:t xml:space="preserve"> ASUS Ascent GX10</w:t>
      </w:r>
      <w:r w:rsidR="00AA0B54" w:rsidRPr="00242BF6">
        <w:rPr>
          <w:rFonts w:ascii="Times New Roman" w:eastAsia="微軟正黑體" w:hAnsi="Times New Roman" w:cs="Times New Roman" w:hint="eastAsia"/>
          <w:bCs/>
        </w:rPr>
        <w:t>共</w:t>
      </w:r>
      <w:r w:rsidR="00AA0B54" w:rsidRPr="00242BF6">
        <w:rPr>
          <w:rFonts w:ascii="Times New Roman" w:eastAsia="微軟正黑體" w:hAnsi="Times New Roman" w:cs="Times New Roman" w:hint="eastAsia"/>
          <w:bCs/>
        </w:rPr>
        <w:t xml:space="preserve"> </w:t>
      </w:r>
      <w:r w:rsidR="00E65BBB">
        <w:rPr>
          <w:rFonts w:ascii="Times New Roman" w:eastAsia="微軟正黑體" w:hAnsi="Times New Roman" w:cs="Times New Roman" w:hint="eastAsia"/>
          <w:bCs/>
        </w:rPr>
        <w:t>2</w:t>
      </w:r>
      <w:r w:rsidR="00AA0B54" w:rsidRPr="00242BF6">
        <w:rPr>
          <w:rFonts w:ascii="Times New Roman" w:eastAsia="微軟正黑體" w:hAnsi="Times New Roman" w:cs="Times New Roman" w:hint="eastAsia"/>
          <w:bCs/>
        </w:rPr>
        <w:t xml:space="preserve"> </w:t>
      </w:r>
      <w:r w:rsidR="00AA0B54" w:rsidRPr="00242BF6">
        <w:rPr>
          <w:rFonts w:ascii="Times New Roman" w:eastAsia="微軟正黑體" w:hAnsi="Times New Roman" w:cs="Times New Roman" w:hint="eastAsia"/>
          <w:bCs/>
        </w:rPr>
        <w:t>台</w:t>
      </w:r>
      <w:r w:rsidR="00A46228">
        <w:rPr>
          <w:rFonts w:ascii="Times New Roman" w:eastAsia="微軟正黑體" w:hAnsi="Times New Roman" w:cs="Times New Roman" w:hint="eastAsia"/>
          <w:bCs/>
        </w:rPr>
        <w:t>，並且可使用</w:t>
      </w:r>
      <w:r w:rsidR="00A46228" w:rsidRPr="00A46228">
        <w:rPr>
          <w:rFonts w:ascii="Times New Roman" w:eastAsia="微軟正黑體" w:hAnsi="Times New Roman" w:cs="Times New Roman"/>
          <w:bCs/>
        </w:rPr>
        <w:t>共用型碳足跡</w:t>
      </w:r>
      <w:r w:rsidR="00A46228" w:rsidRPr="00A46228">
        <w:rPr>
          <w:rFonts w:ascii="Times New Roman" w:eastAsia="微軟正黑體" w:hAnsi="Times New Roman" w:cs="Times New Roman"/>
          <w:bCs/>
        </w:rPr>
        <w:t>ESG</w:t>
      </w:r>
      <w:r w:rsidR="00A46228" w:rsidRPr="00A46228">
        <w:rPr>
          <w:rFonts w:ascii="Times New Roman" w:eastAsia="微軟正黑體" w:hAnsi="Times New Roman" w:cs="Times New Roman"/>
          <w:bCs/>
        </w:rPr>
        <w:t>報告模型</w:t>
      </w:r>
      <w:r w:rsidR="00A46228">
        <w:rPr>
          <w:rFonts w:ascii="Times New Roman" w:eastAsia="微軟正黑體" w:hAnsi="Times New Roman" w:cs="Times New Roman" w:hint="eastAsia"/>
          <w:bCs/>
        </w:rPr>
        <w:t>。</w:t>
      </w:r>
    </w:p>
    <w:p w14:paraId="0D1F10E3" w14:textId="77777777" w:rsidR="00753C81" w:rsidRPr="00753C81" w:rsidRDefault="00753C81" w:rsidP="00753C81">
      <w:pPr>
        <w:pStyle w:val="a9"/>
        <w:rPr>
          <w:rFonts w:ascii="Times New Roman" w:eastAsia="微軟正黑體" w:hAnsi="Times New Roman" w:cs="Times New Roman"/>
          <w:b/>
          <w:bCs/>
        </w:rPr>
      </w:pPr>
    </w:p>
    <w:p w14:paraId="7BD7837B" w14:textId="77777777" w:rsidR="00753C81" w:rsidRPr="00753C81" w:rsidRDefault="00753C81" w:rsidP="00753C81">
      <w:pPr>
        <w:pStyle w:val="a9"/>
        <w:widowControl/>
        <w:numPr>
          <w:ilvl w:val="0"/>
          <w:numId w:val="3"/>
        </w:numPr>
        <w:spacing w:after="0" w:line="0" w:lineRule="atLeast"/>
        <w:contextualSpacing w:val="0"/>
        <w:rPr>
          <w:rFonts w:ascii="Times New Roman" w:eastAsia="微軟正黑體" w:hAnsi="Times New Roman" w:cs="Times New Roman"/>
          <w:b/>
          <w:bCs/>
        </w:rPr>
      </w:pPr>
      <w:r w:rsidRPr="00753C81">
        <w:rPr>
          <w:rFonts w:ascii="Times New Roman" w:eastAsia="微軟正黑體" w:hAnsi="Times New Roman" w:cs="Times New Roman"/>
          <w:b/>
          <w:bCs/>
        </w:rPr>
        <w:t>配合事項</w:t>
      </w:r>
    </w:p>
    <w:p w14:paraId="2341828E" w14:textId="6EF42459" w:rsidR="00753C81" w:rsidRDefault="00753C81" w:rsidP="00CF36F0">
      <w:pPr>
        <w:pStyle w:val="a9"/>
        <w:widowControl/>
        <w:numPr>
          <w:ilvl w:val="0"/>
          <w:numId w:val="4"/>
        </w:numPr>
        <w:spacing w:after="0" w:line="0" w:lineRule="atLeast"/>
        <w:contextualSpacing w:val="0"/>
        <w:rPr>
          <w:rFonts w:ascii="Times New Roman" w:eastAsia="微軟正黑體" w:hAnsi="Times New Roman" w:cs="Times New Roman"/>
        </w:rPr>
      </w:pPr>
      <w:r w:rsidRPr="007275DD">
        <w:rPr>
          <w:rFonts w:ascii="Times New Roman" w:eastAsia="微軟正黑體" w:hAnsi="Times New Roman" w:cs="Times New Roman"/>
        </w:rPr>
        <w:t>保固期為</w:t>
      </w:r>
      <w:r w:rsidRPr="007275DD">
        <w:rPr>
          <w:rFonts w:ascii="Times New Roman" w:eastAsia="微軟正黑體" w:hAnsi="Times New Roman" w:cs="Times New Roman" w:hint="eastAsia"/>
        </w:rPr>
        <w:t>12</w:t>
      </w:r>
      <w:r w:rsidRPr="007275DD">
        <w:rPr>
          <w:rFonts w:ascii="Times New Roman" w:eastAsia="微軟正黑體" w:hAnsi="Times New Roman" w:cs="Times New Roman"/>
        </w:rPr>
        <w:t>個月</w:t>
      </w:r>
    </w:p>
    <w:p w14:paraId="4B7F9F39" w14:textId="67BC7CA6" w:rsidR="00A46228" w:rsidRPr="00A46228" w:rsidRDefault="00A46228" w:rsidP="00CF36F0">
      <w:pPr>
        <w:pStyle w:val="a9"/>
        <w:widowControl/>
        <w:numPr>
          <w:ilvl w:val="0"/>
          <w:numId w:val="4"/>
        </w:numPr>
        <w:spacing w:after="0" w:line="0" w:lineRule="atLeast"/>
        <w:contextualSpacing w:val="0"/>
        <w:rPr>
          <w:rFonts w:ascii="Times New Roman" w:eastAsia="微軟正黑體" w:hAnsi="Times New Roman" w:cs="Times New Roman"/>
          <w:color w:val="000000" w:themeColor="text1"/>
        </w:rPr>
      </w:pPr>
      <w:r w:rsidRPr="00A46228">
        <w:rPr>
          <w:rFonts w:ascii="Times New Roman" w:eastAsia="微軟正黑體" w:hAnsi="Times New Roman" w:cs="Times New Roman" w:hint="eastAsia"/>
          <w:color w:val="000000" w:themeColor="text1"/>
        </w:rPr>
        <w:t>需配合共用型碳足跡</w:t>
      </w:r>
      <w:r w:rsidRPr="00A46228">
        <w:rPr>
          <w:rFonts w:ascii="Times New Roman" w:eastAsia="微軟正黑體" w:hAnsi="Times New Roman" w:cs="Times New Roman" w:hint="eastAsia"/>
          <w:color w:val="000000" w:themeColor="text1"/>
        </w:rPr>
        <w:t>ESG</w:t>
      </w:r>
      <w:r w:rsidRPr="00A46228">
        <w:rPr>
          <w:rFonts w:ascii="Times New Roman" w:eastAsia="微軟正黑體" w:hAnsi="Times New Roman" w:cs="Times New Roman" w:hint="eastAsia"/>
          <w:color w:val="000000" w:themeColor="text1"/>
        </w:rPr>
        <w:t>報告模型</w:t>
      </w:r>
      <w:r>
        <w:rPr>
          <w:rFonts w:ascii="Times New Roman" w:eastAsia="微軟正黑體" w:hAnsi="Times New Roman" w:cs="Times New Roman" w:hint="eastAsia"/>
          <w:color w:val="000000" w:themeColor="text1"/>
        </w:rPr>
        <w:t>更新與測試</w:t>
      </w:r>
      <w:r>
        <w:rPr>
          <w:rFonts w:ascii="Times New Roman" w:eastAsia="微軟正黑體" w:hAnsi="Times New Roman" w:cs="Times New Roman" w:hint="eastAsia"/>
          <w:color w:val="000000" w:themeColor="text1"/>
        </w:rPr>
        <w:t>12</w:t>
      </w:r>
      <w:r>
        <w:rPr>
          <w:rFonts w:ascii="Times New Roman" w:eastAsia="微軟正黑體" w:hAnsi="Times New Roman" w:cs="Times New Roman" w:hint="eastAsia"/>
          <w:color w:val="000000" w:themeColor="text1"/>
        </w:rPr>
        <w:t>個月</w:t>
      </w:r>
    </w:p>
    <w:sectPr w:rsidR="00A46228" w:rsidRPr="00A462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97C"/>
    <w:multiLevelType w:val="hybridMultilevel"/>
    <w:tmpl w:val="232CA6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7A2EA4"/>
    <w:multiLevelType w:val="hybridMultilevel"/>
    <w:tmpl w:val="ED7E83B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CAF614A"/>
    <w:multiLevelType w:val="hybridMultilevel"/>
    <w:tmpl w:val="0B0AB9B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E622721"/>
    <w:multiLevelType w:val="hybridMultilevel"/>
    <w:tmpl w:val="8F507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D94DFC"/>
    <w:multiLevelType w:val="hybridMultilevel"/>
    <w:tmpl w:val="DE8899D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727140760">
    <w:abstractNumId w:val="3"/>
  </w:num>
  <w:num w:numId="2" w16cid:durableId="1909067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4187060">
    <w:abstractNumId w:val="0"/>
  </w:num>
  <w:num w:numId="4" w16cid:durableId="921067299">
    <w:abstractNumId w:val="1"/>
  </w:num>
  <w:num w:numId="5" w16cid:durableId="528489368">
    <w:abstractNumId w:val="2"/>
  </w:num>
  <w:num w:numId="6" w16cid:durableId="2073381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90"/>
    <w:rsid w:val="0007540D"/>
    <w:rsid w:val="000B0D8F"/>
    <w:rsid w:val="00172550"/>
    <w:rsid w:val="001E17AF"/>
    <w:rsid w:val="001E27CC"/>
    <w:rsid w:val="00242BF6"/>
    <w:rsid w:val="00396E82"/>
    <w:rsid w:val="003E6518"/>
    <w:rsid w:val="00455B38"/>
    <w:rsid w:val="00485CFF"/>
    <w:rsid w:val="004F1D7D"/>
    <w:rsid w:val="004F4493"/>
    <w:rsid w:val="00522FA6"/>
    <w:rsid w:val="006103C1"/>
    <w:rsid w:val="00647F2E"/>
    <w:rsid w:val="006C5244"/>
    <w:rsid w:val="007275DD"/>
    <w:rsid w:val="00735209"/>
    <w:rsid w:val="00753C81"/>
    <w:rsid w:val="00770890"/>
    <w:rsid w:val="00777E97"/>
    <w:rsid w:val="00850EFC"/>
    <w:rsid w:val="00913092"/>
    <w:rsid w:val="00A46228"/>
    <w:rsid w:val="00A476E6"/>
    <w:rsid w:val="00A86C7B"/>
    <w:rsid w:val="00AA0B54"/>
    <w:rsid w:val="00AC5DCF"/>
    <w:rsid w:val="00B057E4"/>
    <w:rsid w:val="00C6165B"/>
    <w:rsid w:val="00C732E8"/>
    <w:rsid w:val="00CF36F0"/>
    <w:rsid w:val="00D152AD"/>
    <w:rsid w:val="00D85EE2"/>
    <w:rsid w:val="00E5479B"/>
    <w:rsid w:val="00E65BBB"/>
    <w:rsid w:val="00EE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E2E2D"/>
  <w15:chartTrackingRefBased/>
  <w15:docId w15:val="{6B9BC3E6-C7C1-4058-84FD-22A10D85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089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70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089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089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0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089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089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089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089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7089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708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7089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708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7089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7089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7089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7089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708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089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70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089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708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70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7089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7089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7089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70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7089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70890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A0B5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A0B54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07540D"/>
    <w:rPr>
      <w:rFonts w:ascii="Times New Roman" w:hAnsi="Times New Roman" w:cs="Times New Roman"/>
    </w:rPr>
  </w:style>
  <w:style w:type="character" w:styleId="af0">
    <w:name w:val="Strong"/>
    <w:basedOn w:val="a0"/>
    <w:uiPriority w:val="22"/>
    <w:qFormat/>
    <w:rsid w:val="00075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林依潁</dc:creator>
  <cp:keywords/>
  <dc:description/>
  <cp:lastModifiedBy>Min 張</cp:lastModifiedBy>
  <cp:revision>26</cp:revision>
  <dcterms:created xsi:type="dcterms:W3CDTF">2025-11-05T01:19:00Z</dcterms:created>
  <dcterms:modified xsi:type="dcterms:W3CDTF">2026-11-02T03:13:00Z</dcterms:modified>
</cp:coreProperties>
</file>