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EE827" w14:textId="77777777" w:rsidR="00893B76" w:rsidRDefault="00000000">
      <w:pPr>
        <w:spacing w:after="160"/>
        <w:jc w:val="center"/>
      </w:pPr>
      <w:r>
        <w:rPr>
          <w:sz w:val="36"/>
        </w:rPr>
        <w:t>專業勞務</w:t>
      </w:r>
      <w:r>
        <w:rPr>
          <w:sz w:val="36"/>
        </w:rPr>
        <w:t>_</w:t>
      </w:r>
      <w:r>
        <w:rPr>
          <w:sz w:val="36"/>
        </w:rPr>
        <w:t>採購規範書</w:t>
      </w:r>
    </w:p>
    <w:p w14:paraId="5ECD1880" w14:textId="77777777" w:rsidR="00893B76" w:rsidRDefault="00000000">
      <w:pPr>
        <w:spacing w:after="160"/>
        <w:jc w:val="center"/>
      </w:pPr>
      <w:r>
        <w:rPr>
          <w:sz w:val="36"/>
        </w:rPr>
        <w:t>氣體擴散快速代理模型最佳化與</w:t>
      </w:r>
      <w:r>
        <w:rPr>
          <w:sz w:val="36"/>
        </w:rPr>
        <w:t>3D</w:t>
      </w:r>
      <w:r>
        <w:rPr>
          <w:sz w:val="36"/>
        </w:rPr>
        <w:t>視覺化作業</w:t>
      </w:r>
    </w:p>
    <w:p w14:paraId="7D31DBC2" w14:textId="77777777" w:rsidR="00893B76" w:rsidRDefault="00000000" w:rsidP="00193C89">
      <w:pPr>
        <w:keepNext/>
        <w:spacing w:before="200" w:after="60"/>
      </w:pPr>
      <w:r>
        <w:rPr>
          <w:b/>
        </w:rPr>
        <w:t xml:space="preserve">◇  </w:t>
      </w:r>
      <w:r>
        <w:rPr>
          <w:b/>
        </w:rPr>
        <w:t>目的</w:t>
      </w:r>
      <w:r>
        <w:rPr>
          <w:b/>
        </w:rPr>
        <w:t>/</w:t>
      </w:r>
      <w:r>
        <w:rPr>
          <w:b/>
        </w:rPr>
        <w:t>用途說明：</w:t>
      </w:r>
    </w:p>
    <w:p w14:paraId="7CC8ABF1" w14:textId="77777777" w:rsidR="00893B76" w:rsidRDefault="00000000">
      <w:pPr>
        <w:spacing w:after="40" w:line="300" w:lineRule="auto"/>
        <w:ind w:left="312" w:firstLine="425"/>
        <w:jc w:val="both"/>
      </w:pPr>
      <w:r>
        <w:t>因應本計畫氣體侷限性環境擴散預測模型及後續動態預測技術建置需求，為確認既有石化場域</w:t>
      </w:r>
      <w:r>
        <w:t>CFD</w:t>
      </w:r>
      <w:r>
        <w:t>氣體擴散模擬資料與</w:t>
      </w:r>
      <w:r>
        <w:t>Omniverse</w:t>
      </w:r>
      <w:r>
        <w:t>／</w:t>
      </w:r>
      <w:r>
        <w:t>PhysicsNeMo</w:t>
      </w:r>
      <w:r>
        <w:t>快速代理模型之預測效能、資料需求及模型參數設定，擬委託廠商協助執行快速代理模型效能比較、資料量與模型參數最佳化，以及氣體擴散正向推論與</w:t>
      </w:r>
      <w:r>
        <w:t>3D</w:t>
      </w:r>
      <w:r>
        <w:t>互動式視覺化作業，作為後續模型擴充與系統介接之技術基礎，並實際配合工研院進行相關測試。</w:t>
      </w:r>
    </w:p>
    <w:p w14:paraId="3979302A" w14:textId="77777777" w:rsidR="00893B76" w:rsidRDefault="00000000">
      <w:pPr>
        <w:keepNext/>
        <w:spacing w:before="200" w:after="60"/>
        <w:ind w:left="85" w:hanging="85"/>
      </w:pPr>
      <w:r>
        <w:rPr>
          <w:b/>
        </w:rPr>
        <w:t xml:space="preserve">◇  </w:t>
      </w:r>
      <w:r>
        <w:rPr>
          <w:b/>
        </w:rPr>
        <w:t>規格</w:t>
      </w:r>
      <w:r>
        <w:rPr>
          <w:b/>
        </w:rPr>
        <w:t>/</w:t>
      </w:r>
      <w:r>
        <w:rPr>
          <w:b/>
        </w:rPr>
        <w:t>功能需求：</w:t>
      </w:r>
    </w:p>
    <w:p w14:paraId="79399F95" w14:textId="77777777" w:rsidR="00893B76" w:rsidRDefault="00000000">
      <w:pPr>
        <w:spacing w:after="40" w:line="300" w:lineRule="auto"/>
        <w:ind w:left="312"/>
        <w:jc w:val="both"/>
      </w:pPr>
      <w:r>
        <w:t>廠商須配合工研院之需求，完成下列氣體擴散快速代理模型效能評估、最佳化及正向推論視覺化作業：</w:t>
      </w:r>
    </w:p>
    <w:p w14:paraId="4776B28C" w14:textId="36821373" w:rsidR="00893B76" w:rsidRDefault="008B0CE6" w:rsidP="00032BF9">
      <w:pPr>
        <w:spacing w:after="20" w:line="283" w:lineRule="auto"/>
        <w:ind w:left="879" w:hanging="312"/>
        <w:jc w:val="both"/>
      </w:pPr>
      <w:r>
        <w:rPr>
          <w:rFonts w:hint="eastAsia"/>
        </w:rPr>
        <w:t xml:space="preserve">1. </w:t>
      </w:r>
      <w:r w:rsidR="00032BF9" w:rsidRPr="00032BF9">
        <w:rPr>
          <w:rFonts w:hint="eastAsia"/>
        </w:rPr>
        <w:t>完成至少</w:t>
      </w:r>
      <w:r w:rsidR="00032BF9" w:rsidRPr="00032BF9">
        <w:rPr>
          <w:rFonts w:hint="eastAsia"/>
        </w:rPr>
        <w:t>3</w:t>
      </w:r>
      <w:r w:rsidR="00032BF9" w:rsidRPr="00032BF9">
        <w:rPr>
          <w:rFonts w:hint="eastAsia"/>
        </w:rPr>
        <w:t>組候選模型、模型架構或參數設定之效能比較</w:t>
      </w:r>
      <w:r>
        <w:t>。</w:t>
      </w:r>
    </w:p>
    <w:p w14:paraId="2FAC9075" w14:textId="5BCDE8A1" w:rsidR="00893B76" w:rsidRDefault="008B0CE6">
      <w:pPr>
        <w:spacing w:after="20" w:line="283" w:lineRule="auto"/>
        <w:ind w:left="879" w:hanging="312"/>
        <w:jc w:val="both"/>
      </w:pPr>
      <w:r>
        <w:rPr>
          <w:rFonts w:hint="eastAsia"/>
        </w:rPr>
        <w:t xml:space="preserve">2. </w:t>
      </w:r>
      <w:r>
        <w:t>採相同</w:t>
      </w:r>
      <w:r>
        <w:t>CFD</w:t>
      </w:r>
      <w:r>
        <w:t>測試案例進行模型驗證，至少包含濃度場</w:t>
      </w:r>
      <w:r>
        <w:t>Relative L2 Error</w:t>
      </w:r>
      <w:r>
        <w:t>，並搭配高濃度區域重疊率或其他場域預測指標。</w:t>
      </w:r>
    </w:p>
    <w:p w14:paraId="0A2EAC0D" w14:textId="4ABAE3DD" w:rsidR="00893B76" w:rsidRDefault="008B0CE6">
      <w:pPr>
        <w:spacing w:after="20" w:line="283" w:lineRule="auto"/>
        <w:ind w:left="879" w:hanging="312"/>
        <w:jc w:val="both"/>
      </w:pPr>
      <w:r>
        <w:rPr>
          <w:rFonts w:hint="eastAsia"/>
        </w:rPr>
        <w:t xml:space="preserve">3. </w:t>
      </w:r>
      <w:r>
        <w:t>完成模型預測精度、推論時間及模型適用性之比較分析，提出後續最佳化之模型架構。</w:t>
      </w:r>
    </w:p>
    <w:p w14:paraId="6C9CAB70" w14:textId="64CD07A1" w:rsidR="00032BF9" w:rsidRDefault="008B0CE6">
      <w:pPr>
        <w:spacing w:after="20" w:line="283" w:lineRule="auto"/>
        <w:ind w:left="879" w:hanging="312"/>
        <w:jc w:val="both"/>
      </w:pPr>
      <w:r>
        <w:rPr>
          <w:rFonts w:hint="eastAsia"/>
        </w:rPr>
        <w:t xml:space="preserve">4. </w:t>
      </w:r>
      <w:r>
        <w:t>建立不同訓練資料量之模型效能</w:t>
      </w:r>
      <w:r>
        <w:t>Learning Curve</w:t>
      </w:r>
      <w:r>
        <w:t>，至少比較</w:t>
      </w:r>
      <w:r>
        <w:t>4</w:t>
      </w:r>
      <w:r>
        <w:t>組不同資料量設定。</w:t>
      </w:r>
    </w:p>
    <w:p w14:paraId="63D1BC55" w14:textId="247784E1" w:rsidR="00893B76" w:rsidRDefault="008B0CE6">
      <w:pPr>
        <w:spacing w:after="20" w:line="283" w:lineRule="auto"/>
        <w:ind w:left="879" w:hanging="312"/>
        <w:jc w:val="both"/>
      </w:pPr>
      <w:r>
        <w:rPr>
          <w:rFonts w:hint="eastAsia"/>
        </w:rPr>
        <w:t xml:space="preserve">5. </w:t>
      </w:r>
      <w:r>
        <w:t>比較最佳化前後模型於相同測試資料集之</w:t>
      </w:r>
      <w:r>
        <w:t>Relative L2 Error</w:t>
      </w:r>
      <w:r>
        <w:t>、高濃度區域重疊率及推論時間。</w:t>
      </w:r>
    </w:p>
    <w:p w14:paraId="2F47741E" w14:textId="5D27659C" w:rsidR="00893B76" w:rsidRDefault="008B0CE6" w:rsidP="00032BF9">
      <w:pPr>
        <w:spacing w:after="20" w:line="283" w:lineRule="auto"/>
        <w:ind w:left="879" w:hanging="312"/>
        <w:jc w:val="both"/>
      </w:pPr>
      <w:r>
        <w:rPr>
          <w:rFonts w:hint="eastAsia"/>
        </w:rPr>
        <w:t xml:space="preserve">6. </w:t>
      </w:r>
      <w:r>
        <w:t>完成快速代理模型與</w:t>
      </w:r>
      <w:r>
        <w:t>Omniverse 3D</w:t>
      </w:r>
      <w:r>
        <w:t>場域之整合</w:t>
      </w:r>
      <w:r w:rsidR="00032BF9">
        <w:rPr>
          <w:rFonts w:hint="eastAsia"/>
        </w:rPr>
        <w:t>並</w:t>
      </w:r>
      <w:r>
        <w:t>完成至少</w:t>
      </w:r>
      <w:r>
        <w:t>10</w:t>
      </w:r>
      <w:r>
        <w:t>組測試情境之正向氣體擴散推論展示。</w:t>
      </w:r>
    </w:p>
    <w:p w14:paraId="1E253BCD" w14:textId="559828EC" w:rsidR="00893B76" w:rsidRDefault="008B0CE6">
      <w:pPr>
        <w:spacing w:after="20" w:line="283" w:lineRule="auto"/>
        <w:ind w:left="879" w:hanging="312"/>
        <w:jc w:val="both"/>
      </w:pPr>
      <w:r>
        <w:rPr>
          <w:rFonts w:hint="eastAsia"/>
        </w:rPr>
        <w:t xml:space="preserve">7. </w:t>
      </w:r>
      <w:r w:rsidRPr="008B0CE6">
        <w:rPr>
          <w:rFonts w:hint="eastAsia"/>
        </w:rPr>
        <w:t>於結案時提交結案報告</w:t>
      </w:r>
      <w:r>
        <w:rPr>
          <w:rFonts w:hint="eastAsia"/>
        </w:rPr>
        <w:t>，</w:t>
      </w:r>
      <w:r>
        <w:t>完成系統操作流程及模型介接方式說明。</w:t>
      </w:r>
    </w:p>
    <w:p w14:paraId="1BDF48B5" w14:textId="77777777" w:rsidR="00893B76" w:rsidRDefault="00000000">
      <w:pPr>
        <w:keepNext/>
        <w:spacing w:before="200" w:after="60"/>
        <w:ind w:left="85" w:hanging="85"/>
      </w:pPr>
      <w:r>
        <w:rPr>
          <w:b/>
        </w:rPr>
        <w:t xml:space="preserve">◇  </w:t>
      </w:r>
      <w:r>
        <w:rPr>
          <w:b/>
        </w:rPr>
        <w:t>檢測</w:t>
      </w:r>
      <w:r>
        <w:rPr>
          <w:b/>
        </w:rPr>
        <w:t>/</w:t>
      </w:r>
      <w:r>
        <w:rPr>
          <w:b/>
        </w:rPr>
        <w:t>驗收標準：</w:t>
      </w:r>
    </w:p>
    <w:p w14:paraId="5FF4FD2D" w14:textId="2B45E006" w:rsidR="00893B76" w:rsidRDefault="00000000">
      <w:pPr>
        <w:keepNext/>
        <w:spacing w:before="60" w:after="40" w:line="276" w:lineRule="auto"/>
        <w:ind w:left="312" w:hanging="198"/>
      </w:pPr>
      <w:r>
        <w:t xml:space="preserve">■  </w:t>
      </w:r>
      <w:r>
        <w:t>工作時程：</w:t>
      </w:r>
      <w:r>
        <w:t>115.</w:t>
      </w:r>
      <w:r w:rsidR="0075064F">
        <w:rPr>
          <w:rFonts w:hint="eastAsia"/>
        </w:rPr>
        <w:t>10</w:t>
      </w:r>
      <w:r>
        <w:t>.</w:t>
      </w:r>
      <w:r w:rsidR="0075064F">
        <w:rPr>
          <w:rFonts w:hint="eastAsia"/>
        </w:rPr>
        <w:t>15</w:t>
      </w:r>
      <w:r>
        <w:t>~115.</w:t>
      </w:r>
      <w:r w:rsidR="0075064F">
        <w:rPr>
          <w:rFonts w:hint="eastAsia"/>
        </w:rPr>
        <w:t>12</w:t>
      </w:r>
      <w:r>
        <w:t>.1</w:t>
      </w:r>
      <w:r w:rsidR="0075064F">
        <w:rPr>
          <w:rFonts w:hint="eastAsia"/>
        </w:rPr>
        <w:t>5</w:t>
      </w:r>
    </w:p>
    <w:p w14:paraId="54A194BE" w14:textId="77777777" w:rsidR="00893B76" w:rsidRDefault="00000000">
      <w:pPr>
        <w:keepNext/>
        <w:spacing w:before="60" w:after="40" w:line="276" w:lineRule="auto"/>
        <w:ind w:left="312" w:hanging="198"/>
      </w:pPr>
      <w:r>
        <w:t xml:space="preserve">■  </w:t>
      </w:r>
      <w:r>
        <w:t>驗收項目：</w:t>
      </w:r>
    </w:p>
    <w:p w14:paraId="55D41E5B" w14:textId="77777777" w:rsidR="00893B76" w:rsidRDefault="00000000">
      <w:pPr>
        <w:spacing w:after="40" w:line="300" w:lineRule="auto"/>
        <w:ind w:left="482"/>
        <w:jc w:val="both"/>
      </w:pPr>
      <w:r>
        <w:t>廠商須依據上述之規格與功能需求，完成下列各項作業</w:t>
      </w:r>
    </w:p>
    <w:p w14:paraId="459D6106" w14:textId="77777777" w:rsidR="00893B76" w:rsidRDefault="00000000">
      <w:pPr>
        <w:spacing w:after="40" w:line="300" w:lineRule="auto"/>
        <w:ind w:left="595" w:hanging="312"/>
        <w:jc w:val="both"/>
      </w:pPr>
      <w:r>
        <w:lastRenderedPageBreak/>
        <w:t xml:space="preserve">1.  </w:t>
      </w:r>
      <w:r>
        <w:t>依據工研院之需求，協助進行各項測試並確認有達到規格相關需求。</w:t>
      </w:r>
    </w:p>
    <w:p w14:paraId="41A00676" w14:textId="77777777" w:rsidR="00893B76" w:rsidRDefault="00000000">
      <w:pPr>
        <w:spacing w:after="40" w:line="300" w:lineRule="auto"/>
        <w:ind w:left="595" w:hanging="312"/>
        <w:jc w:val="both"/>
      </w:pPr>
      <w:r>
        <w:t xml:space="preserve">2.  </w:t>
      </w:r>
      <w:r>
        <w:t>需繳交一份結案報告與可供修改之三維檢視工具相關資料，以符合工研院後續之設計變更需求。</w:t>
      </w:r>
    </w:p>
    <w:p w14:paraId="3324AA32" w14:textId="77777777" w:rsidR="00893B76" w:rsidRDefault="00000000">
      <w:pPr>
        <w:spacing w:after="40" w:line="300" w:lineRule="auto"/>
        <w:ind w:left="482"/>
        <w:jc w:val="both"/>
      </w:pPr>
      <w:r>
        <w:t>若廠商未通過上述驗收條件，須於</w:t>
      </w:r>
      <w:r>
        <w:t>14</w:t>
      </w:r>
      <w:r>
        <w:t>個日曆天進行改善，經測試無誤後方可驗收，若期限內無法改善，則工研院有權視情況終止合約，不支付任何款項。</w:t>
      </w:r>
    </w:p>
    <w:p w14:paraId="20A20507" w14:textId="279A8A39" w:rsidR="00893B76" w:rsidRDefault="00000000">
      <w:pPr>
        <w:keepNext/>
        <w:spacing w:before="60" w:after="40" w:line="276" w:lineRule="auto"/>
        <w:ind w:left="312" w:hanging="198"/>
      </w:pPr>
      <w:r>
        <w:t xml:space="preserve">■  </w:t>
      </w:r>
      <w:r>
        <w:t>受託方於</w:t>
      </w:r>
      <w:r>
        <w:t>115</w:t>
      </w:r>
      <w:r>
        <w:t>年</w:t>
      </w:r>
      <w:r w:rsidR="0075064F">
        <w:rPr>
          <w:rFonts w:hint="eastAsia"/>
        </w:rPr>
        <w:t>12</w:t>
      </w:r>
      <w:r>
        <w:t>月</w:t>
      </w:r>
      <w:r>
        <w:t>1</w:t>
      </w:r>
      <w:r w:rsidR="0075064F">
        <w:rPr>
          <w:rFonts w:hint="eastAsia"/>
        </w:rPr>
        <w:t>5</w:t>
      </w:r>
      <w:r>
        <w:t>日前完成</w:t>
      </w:r>
      <w:r>
        <w:t xml:space="preserve">” </w:t>
      </w:r>
      <w:r>
        <w:t>驗收項目</w:t>
      </w:r>
      <w:r>
        <w:t>”</w:t>
      </w:r>
      <w:r>
        <w:t>後，委託方支付計畫總金額之</w:t>
      </w:r>
      <w:r>
        <w:t>100%</w:t>
      </w:r>
      <w:r>
        <w:t>。</w:t>
      </w:r>
    </w:p>
    <w:p w14:paraId="02A78E40" w14:textId="0103346A" w:rsidR="00893B76" w:rsidRDefault="00000000">
      <w:pPr>
        <w:keepNext/>
        <w:spacing w:before="200" w:after="60"/>
        <w:ind w:left="85" w:hanging="85"/>
      </w:pPr>
      <w:r>
        <w:rPr>
          <w:b/>
        </w:rPr>
        <w:t xml:space="preserve">◇  </w:t>
      </w:r>
      <w:r>
        <w:rPr>
          <w:b/>
        </w:rPr>
        <w:t>交貨期：</w:t>
      </w:r>
      <w:r>
        <w:rPr>
          <w:b/>
        </w:rPr>
        <w:t xml:space="preserve"> 20 26 </w:t>
      </w:r>
      <w:r>
        <w:rPr>
          <w:b/>
        </w:rPr>
        <w:t>年</w:t>
      </w:r>
      <w:r>
        <w:rPr>
          <w:b/>
        </w:rPr>
        <w:t xml:space="preserve"> </w:t>
      </w:r>
      <w:r w:rsidR="0075064F">
        <w:rPr>
          <w:rFonts w:hint="eastAsia"/>
          <w:b/>
        </w:rPr>
        <w:t>12</w:t>
      </w:r>
      <w:r>
        <w:rPr>
          <w:b/>
        </w:rPr>
        <w:t xml:space="preserve"> </w:t>
      </w:r>
      <w:r>
        <w:rPr>
          <w:b/>
        </w:rPr>
        <w:t>月</w:t>
      </w:r>
      <w:r>
        <w:rPr>
          <w:b/>
        </w:rPr>
        <w:t xml:space="preserve"> 15 </w:t>
      </w:r>
      <w:r>
        <w:rPr>
          <w:b/>
        </w:rPr>
        <w:t>日前</w:t>
      </w:r>
    </w:p>
    <w:p w14:paraId="7108E345" w14:textId="7DA0A203" w:rsidR="00893B76" w:rsidRDefault="00000000">
      <w:pPr>
        <w:keepNext/>
        <w:spacing w:before="200" w:after="60"/>
        <w:ind w:left="85" w:hanging="85"/>
      </w:pPr>
      <w:r>
        <w:rPr>
          <w:b/>
        </w:rPr>
        <w:t xml:space="preserve">◇  </w:t>
      </w:r>
      <w:r>
        <w:rPr>
          <w:b/>
        </w:rPr>
        <w:t>安裝</w:t>
      </w:r>
      <w:r>
        <w:rPr>
          <w:b/>
        </w:rPr>
        <w:t>/</w:t>
      </w:r>
      <w:r>
        <w:rPr>
          <w:b/>
        </w:rPr>
        <w:t>測試要求：</w:t>
      </w:r>
      <w:r w:rsidR="008B0CE6">
        <w:rPr>
          <w:rFonts w:ascii="標楷體" w:hAnsi="標楷體" w:hint="eastAsia"/>
          <w:b/>
          <w:color w:val="000000"/>
          <w:szCs w:val="24"/>
        </w:rPr>
        <w:t>▓</w:t>
      </w:r>
      <w:r>
        <w:rPr>
          <w:b/>
        </w:rPr>
        <w:t>有</w:t>
      </w:r>
      <w:r>
        <w:rPr>
          <w:b/>
        </w:rPr>
        <w:t xml:space="preserve">  □</w:t>
      </w:r>
      <w:r>
        <w:rPr>
          <w:b/>
        </w:rPr>
        <w:t>無</w:t>
      </w:r>
    </w:p>
    <w:p w14:paraId="7D03CCD8" w14:textId="397D7D45" w:rsidR="00893B76" w:rsidRDefault="00193C89" w:rsidP="00193C89">
      <w:pPr>
        <w:keepNext/>
        <w:spacing w:before="60" w:after="40" w:line="276" w:lineRule="auto"/>
      </w:pPr>
      <w:r>
        <w:rPr>
          <w:rFonts w:hint="eastAsia"/>
        </w:rPr>
        <w:t xml:space="preserve">   </w:t>
      </w:r>
      <w:r w:rsidR="00E243C2">
        <w:rPr>
          <w:rFonts w:hint="eastAsia"/>
        </w:rPr>
        <w:t xml:space="preserve">    </w:t>
      </w:r>
      <w:r>
        <w:t xml:space="preserve">■  </w:t>
      </w:r>
      <w:r>
        <w:t>於工研院指定環境測試規格</w:t>
      </w:r>
      <w:r>
        <w:t>/</w:t>
      </w:r>
      <w:r>
        <w:t>功能中項目。</w:t>
      </w:r>
    </w:p>
    <w:p w14:paraId="15D67847" w14:textId="1E14FCBE" w:rsidR="00893B76" w:rsidRDefault="00000000">
      <w:pPr>
        <w:keepNext/>
        <w:spacing w:before="200" w:after="60"/>
        <w:ind w:left="85" w:hanging="85"/>
      </w:pPr>
      <w:r>
        <w:rPr>
          <w:b/>
        </w:rPr>
        <w:t xml:space="preserve">◇  </w:t>
      </w:r>
      <w:r>
        <w:rPr>
          <w:b/>
        </w:rPr>
        <w:t>訓練：</w:t>
      </w:r>
      <w:r>
        <w:rPr>
          <w:b/>
        </w:rPr>
        <w:t>□</w:t>
      </w:r>
      <w:r>
        <w:rPr>
          <w:b/>
        </w:rPr>
        <w:t>有</w:t>
      </w:r>
      <w:r>
        <w:rPr>
          <w:b/>
        </w:rPr>
        <w:t xml:space="preserve">  </w:t>
      </w:r>
      <w:r w:rsidR="008B0CE6">
        <w:rPr>
          <w:rFonts w:ascii="標楷體" w:hAnsi="標楷體" w:hint="eastAsia"/>
          <w:b/>
          <w:color w:val="000000"/>
          <w:szCs w:val="24"/>
        </w:rPr>
        <w:t>▓</w:t>
      </w:r>
      <w:r>
        <w:rPr>
          <w:b/>
        </w:rPr>
        <w:t>無</w:t>
      </w:r>
    </w:p>
    <w:p w14:paraId="5FD0EE5E" w14:textId="6F9CC80E" w:rsidR="00893B76" w:rsidRDefault="00000000">
      <w:pPr>
        <w:keepNext/>
        <w:spacing w:before="200" w:after="60"/>
        <w:ind w:left="85" w:hanging="85"/>
      </w:pPr>
      <w:r>
        <w:rPr>
          <w:b/>
        </w:rPr>
        <w:t xml:space="preserve">◇  </w:t>
      </w:r>
      <w:r>
        <w:rPr>
          <w:b/>
        </w:rPr>
        <w:t>售後服務要求：</w:t>
      </w:r>
      <w:r>
        <w:rPr>
          <w:b/>
        </w:rPr>
        <w:t>□</w:t>
      </w:r>
      <w:r>
        <w:rPr>
          <w:b/>
        </w:rPr>
        <w:t>有</w:t>
      </w:r>
      <w:r>
        <w:rPr>
          <w:b/>
        </w:rPr>
        <w:t xml:space="preserve">  </w:t>
      </w:r>
      <w:r w:rsidR="008B0CE6">
        <w:rPr>
          <w:rFonts w:ascii="標楷體" w:hAnsi="標楷體" w:hint="eastAsia"/>
          <w:b/>
          <w:color w:val="000000"/>
          <w:szCs w:val="24"/>
        </w:rPr>
        <w:t>▓</w:t>
      </w:r>
      <w:r>
        <w:rPr>
          <w:b/>
        </w:rPr>
        <w:t>無</w:t>
      </w:r>
    </w:p>
    <w:p w14:paraId="6D557D4A" w14:textId="3720478C" w:rsidR="00893B76" w:rsidRDefault="00000000">
      <w:pPr>
        <w:keepNext/>
        <w:spacing w:before="200" w:after="60"/>
        <w:ind w:left="85" w:hanging="85"/>
      </w:pPr>
      <w:r>
        <w:rPr>
          <w:b/>
        </w:rPr>
        <w:t xml:space="preserve">◇  </w:t>
      </w:r>
      <w:r>
        <w:rPr>
          <w:b/>
        </w:rPr>
        <w:t>廠商交付文件：</w:t>
      </w:r>
      <w:r w:rsidR="008B0CE6">
        <w:rPr>
          <w:rFonts w:ascii="標楷體" w:hAnsi="標楷體" w:hint="eastAsia"/>
          <w:b/>
          <w:color w:val="000000"/>
          <w:szCs w:val="24"/>
        </w:rPr>
        <w:t>▓</w:t>
      </w:r>
      <w:r>
        <w:rPr>
          <w:b/>
        </w:rPr>
        <w:t>有</w:t>
      </w:r>
      <w:r>
        <w:rPr>
          <w:b/>
        </w:rPr>
        <w:t xml:space="preserve">  □</w:t>
      </w:r>
      <w:r>
        <w:rPr>
          <w:b/>
        </w:rPr>
        <w:t>無</w:t>
      </w:r>
    </w:p>
    <w:p w14:paraId="03B4645E" w14:textId="7C5A9955" w:rsidR="00893B76" w:rsidRDefault="00000000">
      <w:pPr>
        <w:keepNext/>
        <w:spacing w:before="200" w:after="60"/>
        <w:ind w:left="85" w:hanging="85"/>
      </w:pPr>
      <w:r>
        <w:rPr>
          <w:b/>
        </w:rPr>
        <w:t xml:space="preserve">◇  </w:t>
      </w:r>
      <w:r>
        <w:rPr>
          <w:b/>
        </w:rPr>
        <w:t>工作環境及安全衛生規定要求：</w:t>
      </w:r>
      <w:r>
        <w:rPr>
          <w:b/>
        </w:rPr>
        <w:t>□</w:t>
      </w:r>
      <w:r>
        <w:rPr>
          <w:b/>
        </w:rPr>
        <w:t>有</w:t>
      </w:r>
      <w:r>
        <w:rPr>
          <w:b/>
        </w:rPr>
        <w:t xml:space="preserve">  </w:t>
      </w:r>
      <w:r w:rsidR="008B0CE6">
        <w:rPr>
          <w:rFonts w:ascii="標楷體" w:hAnsi="標楷體" w:hint="eastAsia"/>
          <w:b/>
          <w:color w:val="000000"/>
          <w:szCs w:val="24"/>
        </w:rPr>
        <w:t>▓</w:t>
      </w:r>
      <w:r>
        <w:rPr>
          <w:b/>
        </w:rPr>
        <w:t>無</w:t>
      </w:r>
    </w:p>
    <w:p w14:paraId="3A7B0D97" w14:textId="0DAF60BB" w:rsidR="00893B76" w:rsidRDefault="00000000">
      <w:pPr>
        <w:keepNext/>
        <w:spacing w:before="200" w:after="60"/>
        <w:ind w:left="85" w:hanging="85"/>
      </w:pPr>
      <w:r>
        <w:rPr>
          <w:b/>
        </w:rPr>
        <w:t xml:space="preserve">◇  </w:t>
      </w:r>
      <w:r>
        <w:rPr>
          <w:b/>
        </w:rPr>
        <w:t>涉及智慧財產權歸屬要求：</w:t>
      </w:r>
      <w:r w:rsidR="008B0CE6">
        <w:rPr>
          <w:rFonts w:ascii="標楷體" w:hAnsi="標楷體" w:hint="eastAsia"/>
          <w:b/>
          <w:color w:val="000000"/>
          <w:szCs w:val="24"/>
        </w:rPr>
        <w:t>▓</w:t>
      </w:r>
      <w:r>
        <w:rPr>
          <w:b/>
        </w:rPr>
        <w:t>有</w:t>
      </w:r>
      <w:r>
        <w:rPr>
          <w:b/>
        </w:rPr>
        <w:t xml:space="preserve">  □</w:t>
      </w:r>
      <w:r>
        <w:rPr>
          <w:b/>
        </w:rPr>
        <w:t>無</w:t>
      </w:r>
    </w:p>
    <w:p w14:paraId="1DC5307A" w14:textId="6DE87DD5" w:rsidR="00893B76" w:rsidRDefault="00E243C2">
      <w:pPr>
        <w:spacing w:after="40" w:line="288" w:lineRule="auto"/>
        <w:ind w:left="482" w:hanging="198"/>
        <w:jc w:val="both"/>
      </w:pPr>
      <w:r>
        <w:rPr>
          <w:rFonts w:hint="eastAsia"/>
        </w:rPr>
        <w:t xml:space="preserve">  </w:t>
      </w:r>
      <w:r>
        <w:t xml:space="preserve">■  </w:t>
      </w:r>
      <w:r>
        <w:t>廠商履約結果產出產品涉及智慧財產權（包含專利權、商標權、著作權、積體電路電路布局權、營業秘密</w:t>
      </w:r>
      <w:r>
        <w:t>…</w:t>
      </w:r>
      <w:r>
        <w:t>等）歸屬者，其內容如本院取得全部權利</w:t>
      </w:r>
      <w:r>
        <w:t>/</w:t>
      </w:r>
      <w:r>
        <w:t>本院取得部分權利</w:t>
      </w:r>
      <w:r>
        <w:t>/</w:t>
      </w:r>
      <w:r>
        <w:t>本院取得永久無償使用權。</w:t>
      </w:r>
    </w:p>
    <w:p w14:paraId="30E16AE6" w14:textId="5646BF9A" w:rsidR="00893B76" w:rsidRDefault="00E243C2">
      <w:pPr>
        <w:spacing w:after="40" w:line="288" w:lineRule="auto"/>
        <w:ind w:left="482" w:hanging="198"/>
        <w:jc w:val="both"/>
      </w:pPr>
      <w:r>
        <w:rPr>
          <w:rFonts w:hint="eastAsia"/>
        </w:rPr>
        <w:t xml:space="preserve">  </w:t>
      </w:r>
      <w:r>
        <w:t xml:space="preserve">■  </w:t>
      </w:r>
      <w:r>
        <w:t>廠商需對對本案產出內容履行保密責任。</w:t>
      </w:r>
    </w:p>
    <w:p w14:paraId="52CEC455" w14:textId="7B327444" w:rsidR="00893B76" w:rsidRDefault="00000000">
      <w:pPr>
        <w:keepNext/>
        <w:spacing w:before="200" w:after="60"/>
        <w:ind w:left="85" w:hanging="85"/>
      </w:pPr>
      <w:r>
        <w:rPr>
          <w:b/>
        </w:rPr>
        <w:t xml:space="preserve">◇  </w:t>
      </w:r>
      <w:r>
        <w:rPr>
          <w:b/>
        </w:rPr>
        <w:t>廠商資格條件：</w:t>
      </w:r>
      <w:r>
        <w:rPr>
          <w:b/>
        </w:rPr>
        <w:t>□</w:t>
      </w:r>
      <w:r>
        <w:rPr>
          <w:b/>
        </w:rPr>
        <w:t>有</w:t>
      </w:r>
      <w:r>
        <w:rPr>
          <w:b/>
        </w:rPr>
        <w:t xml:space="preserve"> </w:t>
      </w:r>
      <w:r w:rsidR="008B0CE6">
        <w:rPr>
          <w:rFonts w:ascii="標楷體" w:hAnsi="標楷體" w:hint="eastAsia"/>
          <w:b/>
          <w:color w:val="000000"/>
          <w:szCs w:val="24"/>
        </w:rPr>
        <w:t>▓</w:t>
      </w:r>
      <w:r>
        <w:rPr>
          <w:b/>
        </w:rPr>
        <w:t>無特別要求</w:t>
      </w:r>
    </w:p>
    <w:sectPr w:rsidR="00893B76">
      <w:footerReference w:type="default" r:id="rId7"/>
      <w:pgSz w:w="11906" w:h="16838"/>
      <w:pgMar w:top="1440" w:right="1800" w:bottom="1440" w:left="1800" w:header="0" w:footer="992" w:gutter="0"/>
      <w:cols w:space="720"/>
      <w:formProt w:val="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EA68D6" w14:textId="77777777" w:rsidR="0011200B" w:rsidRDefault="0011200B">
      <w:r>
        <w:separator/>
      </w:r>
    </w:p>
  </w:endnote>
  <w:endnote w:type="continuationSeparator" w:id="0">
    <w:p w14:paraId="34CEB378" w14:textId="77777777" w:rsidR="0011200B" w:rsidRDefault="001120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新細明體">
    <w:altName w:val="PMingLiU"/>
    <w:panose1 w:val="02020500000000000000"/>
    <w:charset w:val="88"/>
    <w:family w:val="roman"/>
    <w:pitch w:val="variable"/>
    <w:sig w:usb0="A00002FF" w:usb1="28CFFCFA" w:usb2="00000016" w:usb3="00000000" w:csb0="00100001" w:csb1="00000000"/>
  </w:font>
  <w:font w:name="Lohit Devanagari">
    <w:altName w:val="Cambria"/>
    <w:panose1 w:val="00000000000000000000"/>
    <w:charset w:val="00"/>
    <w:family w:val="roman"/>
    <w:notTrueType/>
    <w:pitch w:val="default"/>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新細明體;PMingLiU">
    <w:altName w:val="新細明體"/>
    <w:panose1 w:val="00000000000000000000"/>
    <w:charset w:val="88"/>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Noto Sans CJK SC">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E65EC" w14:textId="77777777" w:rsidR="00893B76" w:rsidRDefault="00000000">
    <w:pPr>
      <w:pStyle w:val="ab"/>
      <w:jc w:val="center"/>
    </w:pPr>
    <w:r>
      <w:fldChar w:fldCharType="begin"/>
    </w:r>
    <w:r>
      <w:instrText xml:space="preserve"> PAGE </w:instrText>
    </w:r>
    <w:r>
      <w:fldChar w:fldCharType="separate"/>
    </w:r>
    <w:r>
      <w:t>2</w:t>
    </w:r>
    <w:r>
      <w:fldChar w:fldCharType="end"/>
    </w:r>
  </w:p>
  <w:p w14:paraId="3768C762" w14:textId="77777777" w:rsidR="00893B76" w:rsidRDefault="00893B76">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2F569E" w14:textId="77777777" w:rsidR="0011200B" w:rsidRDefault="0011200B">
      <w:r>
        <w:separator/>
      </w:r>
    </w:p>
  </w:footnote>
  <w:footnote w:type="continuationSeparator" w:id="0">
    <w:p w14:paraId="51182CC4" w14:textId="77777777" w:rsidR="0011200B" w:rsidRDefault="001120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857E0"/>
    <w:multiLevelType w:val="multilevel"/>
    <w:tmpl w:val="F05A32AE"/>
    <w:lvl w:ilvl="0">
      <w:start w:val="1"/>
      <w:numFmt w:val="bullet"/>
      <w:lvlText w:val=""/>
      <w:lvlJc w:val="left"/>
      <w:pPr>
        <w:tabs>
          <w:tab w:val="num" w:pos="480"/>
        </w:tabs>
        <w:ind w:left="480" w:hanging="48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CBC726D"/>
    <w:multiLevelType w:val="multilevel"/>
    <w:tmpl w:val="3B4094DE"/>
    <w:lvl w:ilvl="0">
      <w:start w:val="1"/>
      <w:numFmt w:val="bullet"/>
      <w:lvlText w:val=""/>
      <w:lvlJc w:val="left"/>
      <w:pPr>
        <w:tabs>
          <w:tab w:val="num" w:pos="0"/>
        </w:tabs>
        <w:ind w:left="480" w:hanging="48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B224EC3"/>
    <w:multiLevelType w:val="multilevel"/>
    <w:tmpl w:val="96D01586"/>
    <w:lvl w:ilvl="0">
      <w:start w:val="1"/>
      <w:numFmt w:val="decimal"/>
      <w:lvlText w:val="%1."/>
      <w:lvlJc w:val="left"/>
      <w:pPr>
        <w:tabs>
          <w:tab w:val="num" w:pos="0"/>
        </w:tabs>
        <w:ind w:left="960" w:hanging="48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4106809"/>
    <w:multiLevelType w:val="multilevel"/>
    <w:tmpl w:val="E35E4D34"/>
    <w:lvl w:ilvl="0">
      <w:start w:val="1"/>
      <w:numFmt w:val="decimal"/>
      <w:lvlText w:val="%1."/>
      <w:lvlJc w:val="left"/>
      <w:pPr>
        <w:tabs>
          <w:tab w:val="num" w:pos="0"/>
        </w:tabs>
        <w:ind w:left="960" w:hanging="48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51EF0A11"/>
    <w:multiLevelType w:val="multilevel"/>
    <w:tmpl w:val="AD3AFDA8"/>
    <w:lvl w:ilvl="0">
      <w:start w:val="1"/>
      <w:numFmt w:val="bullet"/>
      <w:lvlText w:val=""/>
      <w:lvlJc w:val="left"/>
      <w:pPr>
        <w:tabs>
          <w:tab w:val="num" w:pos="480"/>
        </w:tabs>
        <w:ind w:left="480" w:hanging="480"/>
      </w:pPr>
      <w:rPr>
        <w:rFonts w:ascii="Wingdings" w:hAnsi="Wingdings" w:cs="Wingdings" w:hint="default"/>
      </w:rPr>
    </w:lvl>
    <w:lvl w:ilvl="1">
      <w:start w:val="1"/>
      <w:numFmt w:val="bullet"/>
      <w:lvlText w:val=""/>
      <w:lvlJc w:val="left"/>
      <w:pPr>
        <w:tabs>
          <w:tab w:val="num" w:pos="960"/>
        </w:tabs>
        <w:ind w:left="960" w:hanging="480"/>
      </w:pPr>
      <w:rPr>
        <w:rFonts w:ascii="Wingdings" w:hAnsi="Wingdings" w:cs="Wingdings" w:hint="default"/>
      </w:rPr>
    </w:lvl>
    <w:lvl w:ilvl="2">
      <w:start w:val="1"/>
      <w:numFmt w:val="bullet"/>
      <w:lvlText w:val=""/>
      <w:lvlJc w:val="left"/>
      <w:pPr>
        <w:tabs>
          <w:tab w:val="num" w:pos="1440"/>
        </w:tabs>
        <w:ind w:left="1440" w:hanging="480"/>
      </w:pPr>
      <w:rPr>
        <w:rFonts w:ascii="Wingdings" w:hAnsi="Wingdings" w:cs="Wingdings" w:hint="default"/>
      </w:rPr>
    </w:lvl>
    <w:lvl w:ilvl="3">
      <w:start w:val="1"/>
      <w:numFmt w:val="bullet"/>
      <w:lvlText w:val=""/>
      <w:lvlJc w:val="left"/>
      <w:pPr>
        <w:tabs>
          <w:tab w:val="num" w:pos="1920"/>
        </w:tabs>
        <w:ind w:left="1920" w:hanging="480"/>
      </w:pPr>
      <w:rPr>
        <w:rFonts w:ascii="Wingdings" w:hAnsi="Wingdings" w:cs="Wingdings" w:hint="default"/>
      </w:rPr>
    </w:lvl>
    <w:lvl w:ilvl="4">
      <w:start w:val="1"/>
      <w:numFmt w:val="bullet"/>
      <w:lvlText w:val=""/>
      <w:lvlJc w:val="left"/>
      <w:pPr>
        <w:tabs>
          <w:tab w:val="num" w:pos="2400"/>
        </w:tabs>
        <w:ind w:left="2400" w:hanging="480"/>
      </w:pPr>
      <w:rPr>
        <w:rFonts w:ascii="Wingdings" w:hAnsi="Wingdings" w:cs="Wingdings" w:hint="default"/>
      </w:rPr>
    </w:lvl>
    <w:lvl w:ilvl="5">
      <w:start w:val="1"/>
      <w:numFmt w:val="bullet"/>
      <w:lvlText w:val=""/>
      <w:lvlJc w:val="left"/>
      <w:pPr>
        <w:tabs>
          <w:tab w:val="num" w:pos="2880"/>
        </w:tabs>
        <w:ind w:left="2880" w:hanging="480"/>
      </w:pPr>
      <w:rPr>
        <w:rFonts w:ascii="Wingdings" w:hAnsi="Wingdings" w:cs="Wingdings" w:hint="default"/>
      </w:rPr>
    </w:lvl>
    <w:lvl w:ilvl="6">
      <w:start w:val="1"/>
      <w:numFmt w:val="bullet"/>
      <w:lvlText w:val=""/>
      <w:lvlJc w:val="left"/>
      <w:pPr>
        <w:tabs>
          <w:tab w:val="num" w:pos="3360"/>
        </w:tabs>
        <w:ind w:left="3360" w:hanging="480"/>
      </w:pPr>
      <w:rPr>
        <w:rFonts w:ascii="Wingdings" w:hAnsi="Wingdings" w:cs="Wingdings" w:hint="default"/>
      </w:rPr>
    </w:lvl>
    <w:lvl w:ilvl="7">
      <w:start w:val="1"/>
      <w:numFmt w:val="bullet"/>
      <w:lvlText w:val=""/>
      <w:lvlJc w:val="left"/>
      <w:pPr>
        <w:tabs>
          <w:tab w:val="num" w:pos="3840"/>
        </w:tabs>
        <w:ind w:left="3840" w:hanging="480"/>
      </w:pPr>
      <w:rPr>
        <w:rFonts w:ascii="Wingdings" w:hAnsi="Wingdings" w:cs="Wingdings" w:hint="default"/>
      </w:rPr>
    </w:lvl>
    <w:lvl w:ilvl="8">
      <w:start w:val="1"/>
      <w:numFmt w:val="bullet"/>
      <w:lvlText w:val=""/>
      <w:lvlJc w:val="left"/>
      <w:pPr>
        <w:tabs>
          <w:tab w:val="num" w:pos="4320"/>
        </w:tabs>
        <w:ind w:left="4320" w:hanging="480"/>
      </w:pPr>
      <w:rPr>
        <w:rFonts w:ascii="Wingdings" w:hAnsi="Wingdings" w:cs="Wingdings" w:hint="default"/>
      </w:rPr>
    </w:lvl>
  </w:abstractNum>
  <w:abstractNum w:abstractNumId="5" w15:restartNumberingAfterBreak="0">
    <w:nsid w:val="627B41C1"/>
    <w:multiLevelType w:val="multilevel"/>
    <w:tmpl w:val="849269C6"/>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6616232C"/>
    <w:multiLevelType w:val="multilevel"/>
    <w:tmpl w:val="F148E78C"/>
    <w:lvl w:ilvl="0">
      <w:start w:val="1"/>
      <w:numFmt w:val="bullet"/>
      <w:lvlText w:val=""/>
      <w:lvlJc w:val="left"/>
      <w:pPr>
        <w:tabs>
          <w:tab w:val="num" w:pos="0"/>
        </w:tabs>
        <w:ind w:left="960" w:hanging="48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959792466">
    <w:abstractNumId w:val="5"/>
  </w:num>
  <w:num w:numId="2" w16cid:durableId="1670478733">
    <w:abstractNumId w:val="0"/>
  </w:num>
  <w:num w:numId="3" w16cid:durableId="33317369">
    <w:abstractNumId w:val="3"/>
  </w:num>
  <w:num w:numId="4" w16cid:durableId="7756166">
    <w:abstractNumId w:val="1"/>
  </w:num>
  <w:num w:numId="5" w16cid:durableId="1426922270">
    <w:abstractNumId w:val="6"/>
  </w:num>
  <w:num w:numId="6" w16cid:durableId="1503159289">
    <w:abstractNumId w:val="2"/>
  </w:num>
  <w:num w:numId="7" w16cid:durableId="4109759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oNotTrackMoves/>
  <w:defaultTabStop w:val="480"/>
  <w:autoHyphenation/>
  <w:hyphenationZone w:val="0"/>
  <w:characterSpacingControl w:val="doNotCompress"/>
  <w:footnotePr>
    <w:footnote w:id="-1"/>
    <w:footnote w:id="0"/>
  </w:footnotePr>
  <w:endnotePr>
    <w:endnote w:id="-1"/>
    <w:endnote w:id="0"/>
  </w:endnotePr>
  <w:compat>
    <w:doNotExpandShiftReturn/>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93B76"/>
    <w:rsid w:val="00032BF9"/>
    <w:rsid w:val="0011200B"/>
    <w:rsid w:val="00193C89"/>
    <w:rsid w:val="00290820"/>
    <w:rsid w:val="00301B6D"/>
    <w:rsid w:val="0075064F"/>
    <w:rsid w:val="00893B76"/>
    <w:rsid w:val="008B0CE6"/>
    <w:rsid w:val="009125AE"/>
    <w:rsid w:val="00C805BE"/>
    <w:rsid w:val="00CA2E08"/>
    <w:rsid w:val="00E243C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8A33F"/>
  <w15:docId w15:val="{370BB98C-E733-428B-94D5-D93E93C30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新細明體" w:hAnsi="Liberation Serif" w:cs="Lohit Devanagari"/>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rFonts w:ascii="Times New Roman" w:eastAsia="標楷體" w:hAnsi="Times New Roman" w:cs="Times New Roman"/>
      <w:kern w:val="2"/>
      <w:sz w:val="24"/>
    </w:rPr>
  </w:style>
  <w:style w:type="paragraph" w:styleId="1">
    <w:name w:val="heading 1"/>
    <w:basedOn w:val="a"/>
    <w:next w:val="a"/>
    <w:uiPriority w:val="9"/>
    <w:qFormat/>
    <w:pPr>
      <w:keepNext/>
      <w:numPr>
        <w:numId w:val="1"/>
      </w:numPr>
      <w:spacing w:before="180" w:after="180" w:line="720" w:lineRule="auto"/>
      <w:outlineLvl w:val="0"/>
    </w:pPr>
    <w:rPr>
      <w:rFonts w:ascii="Cambria" w:eastAsia="新細明體;PMingLiU" w:hAnsi="Cambria"/>
      <w:b/>
      <w:bCs/>
      <w:sz w:val="52"/>
      <w:szCs w:val="52"/>
    </w:rPr>
  </w:style>
  <w:style w:type="paragraph" w:styleId="3">
    <w:name w:val="heading 3"/>
    <w:basedOn w:val="a"/>
    <w:next w:val="a"/>
    <w:uiPriority w:val="9"/>
    <w:semiHidden/>
    <w:unhideWhenUsed/>
    <w:qFormat/>
    <w:pPr>
      <w:keepNext/>
      <w:numPr>
        <w:ilvl w:val="2"/>
        <w:numId w:val="1"/>
      </w:numPr>
      <w:spacing w:line="720" w:lineRule="auto"/>
      <w:outlineLvl w:val="2"/>
    </w:pPr>
    <w:rPr>
      <w:rFonts w:ascii="Cambria" w:eastAsia="新細明體;PMingLiU"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qFormat/>
  </w:style>
  <w:style w:type="character" w:customStyle="1" w:styleId="WW8Num2z0">
    <w:name w:val="WW8Num2z0"/>
    <w:qFormat/>
    <w:rPr>
      <w:rFonts w:ascii="Wingdings" w:hAnsi="Wingdings" w:cs="Wingdings"/>
    </w:rPr>
  </w:style>
  <w:style w:type="character" w:customStyle="1" w:styleId="WW8Num3z0">
    <w:name w:val="WW8Num3z0"/>
    <w:qFormat/>
  </w:style>
  <w:style w:type="character" w:customStyle="1" w:styleId="WW8Num4z0">
    <w:name w:val="WW8Num4z0"/>
    <w:qFormat/>
    <w:rPr>
      <w:rFonts w:ascii="Wingdings" w:hAnsi="Wingdings" w:cs="Wingdings"/>
    </w:rPr>
  </w:style>
  <w:style w:type="character" w:customStyle="1" w:styleId="WW8Num5z0">
    <w:name w:val="WW8Num5z0"/>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style>
  <w:style w:type="character" w:customStyle="1" w:styleId="WW8Num10z0">
    <w:name w:val="WW8Num10z0"/>
    <w:qFormat/>
  </w:style>
  <w:style w:type="character" w:customStyle="1" w:styleId="WW8Num11z0">
    <w:name w:val="WW8Num11z0"/>
    <w:qFormat/>
    <w:rPr>
      <w:rFonts w:ascii="Wingdings" w:hAnsi="Wingdings" w:cs="Wingdings"/>
    </w:rPr>
  </w:style>
  <w:style w:type="character" w:customStyle="1" w:styleId="WW8Num12z0">
    <w:name w:val="WW8Num12z0"/>
    <w:qFormat/>
    <w:rPr>
      <w:rFonts w:ascii="Wingdings" w:hAnsi="Wingdings" w:cs="Wingdings"/>
    </w:rPr>
  </w:style>
  <w:style w:type="character" w:customStyle="1" w:styleId="WW8Num13z0">
    <w:name w:val="WW8Num13z0"/>
    <w:qFormat/>
  </w:style>
  <w:style w:type="character" w:customStyle="1" w:styleId="WW8Num14z0">
    <w:name w:val="WW8Num14z0"/>
    <w:qFormat/>
    <w:rPr>
      <w:rFonts w:ascii="Wingdings" w:hAnsi="Wingdings" w:cs="Wingdings"/>
      <w:sz w:val="24"/>
    </w:rPr>
  </w:style>
  <w:style w:type="character" w:customStyle="1" w:styleId="WW8Num14z1">
    <w:name w:val="WW8Num14z1"/>
    <w:qFormat/>
    <w:rPr>
      <w:rFonts w:ascii="Wingdings" w:hAnsi="Wingdings" w:cs="Wingdings"/>
    </w:rPr>
  </w:style>
  <w:style w:type="character" w:customStyle="1" w:styleId="WW8Num15z0">
    <w:name w:val="WW8Num15z0"/>
    <w:qFormat/>
    <w:rPr>
      <w:rFonts w:ascii="Wingdings" w:hAnsi="Wingdings" w:cs="Wingdings"/>
    </w:rPr>
  </w:style>
  <w:style w:type="character" w:customStyle="1" w:styleId="WW8Num16z0">
    <w:name w:val="WW8Num16z0"/>
    <w:qFormat/>
    <w:rPr>
      <w:rFonts w:ascii="Wingdings" w:hAnsi="Wingdings" w:cs="Wingdings"/>
    </w:rPr>
  </w:style>
  <w:style w:type="character" w:customStyle="1" w:styleId="WW8Num17z0">
    <w:name w:val="WW8Num17z0"/>
    <w:qFormat/>
    <w:rPr>
      <w:rFonts w:ascii="Wingdings" w:hAnsi="Wingdings" w:cs="Wingdings"/>
    </w:rPr>
  </w:style>
  <w:style w:type="character" w:customStyle="1" w:styleId="WW8Num18z0">
    <w:name w:val="WW8Num18z0"/>
    <w:qFormat/>
  </w:style>
  <w:style w:type="character" w:customStyle="1" w:styleId="WW8Num19z0">
    <w:name w:val="WW8Num19z0"/>
    <w:qFormat/>
  </w:style>
  <w:style w:type="character" w:customStyle="1" w:styleId="WW8Num20z0">
    <w:name w:val="WW8Num20z0"/>
    <w:qFormat/>
  </w:style>
  <w:style w:type="character" w:customStyle="1" w:styleId="WW8Num21z0">
    <w:name w:val="WW8Num21z0"/>
    <w:qFormat/>
  </w:style>
  <w:style w:type="character" w:customStyle="1" w:styleId="WW8Num22z0">
    <w:name w:val="WW8Num22z0"/>
    <w:qFormat/>
    <w:rPr>
      <w:rFonts w:ascii="Wingdings" w:hAnsi="Wingdings" w:cs="Wingdings"/>
    </w:rPr>
  </w:style>
  <w:style w:type="character" w:customStyle="1" w:styleId="WW8Num23z0">
    <w:name w:val="WW8Num23z0"/>
    <w:qFormat/>
    <w:rPr>
      <w:rFonts w:ascii="Wingdings" w:hAnsi="Wingdings" w:cs="Wingdings"/>
    </w:rPr>
  </w:style>
  <w:style w:type="character" w:customStyle="1" w:styleId="WW8Num24z0">
    <w:name w:val="WW8Num24z0"/>
    <w:qFormat/>
    <w:rPr>
      <w:rFonts w:ascii="Wingdings" w:hAnsi="Wingdings" w:cs="Wingdings"/>
    </w:rPr>
  </w:style>
  <w:style w:type="character" w:customStyle="1" w:styleId="WW8Num24z1">
    <w:name w:val="WW8Num24z1"/>
    <w:qFormat/>
  </w:style>
  <w:style w:type="character" w:customStyle="1" w:styleId="WW8Num25z0">
    <w:name w:val="WW8Num25z0"/>
    <w:qFormat/>
    <w:rPr>
      <w:rFonts w:ascii="Wingdings" w:hAnsi="Wingdings" w:cs="Wingdings"/>
    </w:rPr>
  </w:style>
  <w:style w:type="character" w:customStyle="1" w:styleId="WW8Num26z0">
    <w:name w:val="WW8Num26z0"/>
    <w:qFormat/>
    <w:rPr>
      <w:rFonts w:ascii="Symbol" w:hAnsi="Symbol" w:cs="Symbol"/>
      <w:sz w:val="20"/>
    </w:rPr>
  </w:style>
  <w:style w:type="character" w:customStyle="1" w:styleId="WW8Num26z1">
    <w:name w:val="WW8Num26z1"/>
    <w:qFormat/>
    <w:rPr>
      <w:rFonts w:ascii="Courier New" w:hAnsi="Courier New" w:cs="Courier New"/>
      <w:sz w:val="20"/>
    </w:rPr>
  </w:style>
  <w:style w:type="character" w:customStyle="1" w:styleId="WW8Num26z2">
    <w:name w:val="WW8Num26z2"/>
    <w:qFormat/>
    <w:rPr>
      <w:rFonts w:ascii="Wingdings" w:hAnsi="Wingdings" w:cs="Wingdings"/>
      <w:sz w:val="20"/>
    </w:rPr>
  </w:style>
  <w:style w:type="character" w:customStyle="1" w:styleId="WW8Num28z0">
    <w:name w:val="WW8Num28z0"/>
    <w:qFormat/>
    <w:rPr>
      <w:lang w:val="en-US"/>
    </w:rPr>
  </w:style>
  <w:style w:type="character" w:customStyle="1" w:styleId="WW8Num29z0">
    <w:name w:val="WW8Num29z0"/>
    <w:qFormat/>
    <w:rPr>
      <w:rFonts w:ascii="Symbol" w:hAnsi="Symbol" w:cs="Symbol"/>
      <w:sz w:val="20"/>
    </w:rPr>
  </w:style>
  <w:style w:type="character" w:customStyle="1" w:styleId="WW8Num29z1">
    <w:name w:val="WW8Num29z1"/>
    <w:qFormat/>
    <w:rPr>
      <w:rFonts w:ascii="Courier New" w:hAnsi="Courier New" w:cs="Courier New"/>
      <w:sz w:val="20"/>
    </w:rPr>
  </w:style>
  <w:style w:type="character" w:customStyle="1" w:styleId="WW8Num29z2">
    <w:name w:val="WW8Num29z2"/>
    <w:qFormat/>
    <w:rPr>
      <w:rFonts w:ascii="Wingdings" w:hAnsi="Wingdings" w:cs="Wingdings"/>
      <w:sz w:val="20"/>
    </w:rPr>
  </w:style>
  <w:style w:type="character" w:customStyle="1" w:styleId="WW8Num30z0">
    <w:name w:val="WW8Num30z0"/>
    <w:qFormat/>
  </w:style>
  <w:style w:type="character" w:customStyle="1" w:styleId="WW8Num31z0">
    <w:name w:val="WW8Num31z0"/>
    <w:qFormat/>
  </w:style>
  <w:style w:type="character" w:customStyle="1" w:styleId="WW8Num32z0">
    <w:name w:val="WW8Num32z0"/>
    <w:qFormat/>
  </w:style>
  <w:style w:type="character" w:customStyle="1" w:styleId="WW8Num33z0">
    <w:name w:val="WW8Num33z0"/>
    <w:qFormat/>
  </w:style>
  <w:style w:type="character" w:customStyle="1" w:styleId="10">
    <w:name w:val="標題 1 字元"/>
    <w:qFormat/>
    <w:rPr>
      <w:rFonts w:ascii="Cambria" w:eastAsia="新細明體;PMingLiU" w:hAnsi="Cambria" w:cs="Times New Roman"/>
      <w:b/>
      <w:bCs/>
      <w:kern w:val="2"/>
      <w:sz w:val="52"/>
      <w:szCs w:val="52"/>
    </w:rPr>
  </w:style>
  <w:style w:type="character" w:customStyle="1" w:styleId="30">
    <w:name w:val="標題 3 字元"/>
    <w:qFormat/>
    <w:rPr>
      <w:rFonts w:ascii="Cambria" w:eastAsia="新細明體;PMingLiU" w:hAnsi="Cambria" w:cs="Times New Roman"/>
      <w:b/>
      <w:bCs/>
      <w:sz w:val="36"/>
      <w:szCs w:val="36"/>
    </w:rPr>
  </w:style>
  <w:style w:type="character" w:customStyle="1" w:styleId="a3">
    <w:name w:val="頁首 字元"/>
    <w:qFormat/>
    <w:rPr>
      <w:rFonts w:ascii="Times New Roman" w:eastAsia="新細明體;PMingLiU" w:hAnsi="Times New Roman" w:cs="Times New Roman"/>
      <w:sz w:val="20"/>
      <w:szCs w:val="20"/>
    </w:rPr>
  </w:style>
  <w:style w:type="character" w:customStyle="1" w:styleId="a4">
    <w:name w:val="頁尾 字元"/>
    <w:qFormat/>
    <w:rPr>
      <w:rFonts w:ascii="Times New Roman" w:eastAsia="新細明體;PMingLiU" w:hAnsi="Times New Roman" w:cs="Times New Roman"/>
      <w:sz w:val="20"/>
      <w:szCs w:val="20"/>
    </w:rPr>
  </w:style>
  <w:style w:type="character" w:customStyle="1" w:styleId="Default">
    <w:name w:val="Default 字元"/>
    <w:qFormat/>
    <w:rPr>
      <w:rFonts w:ascii="標楷體" w:hAnsi="標楷體" w:cs="標楷體"/>
      <w:color w:val="000000"/>
      <w:kern w:val="0"/>
      <w:szCs w:val="24"/>
    </w:rPr>
  </w:style>
  <w:style w:type="character" w:customStyle="1" w:styleId="EndNoteBibliography">
    <w:name w:val="EndNote Bibliography 字元"/>
    <w:qFormat/>
    <w:rPr>
      <w:rFonts w:ascii="新細明體;PMingLiU" w:eastAsia="新細明體;PMingLiU" w:hAnsi="新細明體;PMingLiU" w:cs="新細明體;PMingLiU"/>
      <w:color w:val="000000"/>
      <w:kern w:val="0"/>
      <w:szCs w:val="24"/>
      <w:lang w:val="en-US" w:eastAsia="en-US"/>
    </w:rPr>
  </w:style>
  <w:style w:type="character" w:customStyle="1" w:styleId="a5">
    <w:name w:val="註解方塊文字 字元"/>
    <w:qFormat/>
    <w:rPr>
      <w:rFonts w:ascii="Cambria" w:eastAsia="新細明體;PMingLiU" w:hAnsi="Cambria" w:cs="Times New Roman"/>
      <w:sz w:val="18"/>
      <w:szCs w:val="18"/>
    </w:rPr>
  </w:style>
  <w:style w:type="paragraph" w:customStyle="1" w:styleId="Heading">
    <w:name w:val="Heading"/>
    <w:basedOn w:val="a"/>
    <w:next w:val="a6"/>
    <w:qFormat/>
    <w:pPr>
      <w:keepNext/>
      <w:spacing w:before="240" w:after="120"/>
    </w:pPr>
    <w:rPr>
      <w:rFonts w:ascii="Liberation Sans" w:eastAsia="Noto Sans CJK SC" w:hAnsi="Liberation Sans" w:cs="Lohit Devanagari"/>
      <w:sz w:val="28"/>
      <w:szCs w:val="28"/>
    </w:rPr>
  </w:style>
  <w:style w:type="paragraph" w:styleId="a6">
    <w:name w:val="Body Text"/>
    <w:basedOn w:val="a"/>
    <w:pPr>
      <w:spacing w:after="140" w:line="276" w:lineRule="auto"/>
    </w:pPr>
  </w:style>
  <w:style w:type="paragraph" w:styleId="a7">
    <w:name w:val="List"/>
    <w:basedOn w:val="a6"/>
    <w:rPr>
      <w:rFonts w:cs="Lohit Devanagari"/>
    </w:rPr>
  </w:style>
  <w:style w:type="paragraph" w:styleId="a8">
    <w:name w:val="caption"/>
    <w:basedOn w:val="a"/>
    <w:next w:val="a"/>
    <w:qFormat/>
    <w:rPr>
      <w:rFonts w:ascii="Calibri" w:eastAsia="新細明體;PMingLiU" w:hAnsi="Calibri"/>
      <w:sz w:val="20"/>
    </w:rPr>
  </w:style>
  <w:style w:type="paragraph" w:customStyle="1" w:styleId="Index">
    <w:name w:val="Index"/>
    <w:basedOn w:val="a"/>
    <w:qFormat/>
    <w:pPr>
      <w:suppressLineNumbers/>
    </w:pPr>
    <w:rPr>
      <w:rFonts w:cs="Lohit Devanagari"/>
    </w:rPr>
  </w:style>
  <w:style w:type="paragraph" w:customStyle="1" w:styleId="a9">
    <w:name w:val="合約"/>
    <w:basedOn w:val="a"/>
    <w:qFormat/>
    <w:pPr>
      <w:spacing w:before="120" w:after="120"/>
    </w:pPr>
  </w:style>
  <w:style w:type="paragraph" w:customStyle="1" w:styleId="HeaderandFooter">
    <w:name w:val="Header and Footer"/>
    <w:basedOn w:val="a"/>
    <w:qFormat/>
    <w:pPr>
      <w:suppressLineNumbers/>
      <w:tabs>
        <w:tab w:val="center" w:pos="4819"/>
        <w:tab w:val="right" w:pos="9638"/>
      </w:tabs>
    </w:pPr>
  </w:style>
  <w:style w:type="paragraph" w:styleId="aa">
    <w:name w:val="header"/>
    <w:basedOn w:val="a"/>
    <w:pPr>
      <w:snapToGrid w:val="0"/>
    </w:pPr>
    <w:rPr>
      <w:sz w:val="20"/>
    </w:rPr>
  </w:style>
  <w:style w:type="paragraph" w:styleId="ab">
    <w:name w:val="footer"/>
    <w:basedOn w:val="a"/>
    <w:pPr>
      <w:snapToGrid w:val="0"/>
    </w:pPr>
    <w:rPr>
      <w:sz w:val="20"/>
    </w:rPr>
  </w:style>
  <w:style w:type="paragraph" w:customStyle="1" w:styleId="Default0">
    <w:name w:val="Default"/>
    <w:qFormat/>
    <w:pPr>
      <w:widowControl w:val="0"/>
      <w:suppressAutoHyphens/>
      <w:autoSpaceDE w:val="0"/>
    </w:pPr>
    <w:rPr>
      <w:rFonts w:ascii="標楷體" w:eastAsia="新細明體;PMingLiU" w:hAnsi="標楷體" w:cs="標楷體"/>
      <w:color w:val="000000"/>
      <w:sz w:val="24"/>
      <w:szCs w:val="24"/>
    </w:rPr>
  </w:style>
  <w:style w:type="paragraph" w:customStyle="1" w:styleId="EndNoteBibliography0">
    <w:name w:val="EndNote Bibliography"/>
    <w:basedOn w:val="a"/>
    <w:qFormat/>
    <w:pPr>
      <w:widowControl/>
    </w:pPr>
    <w:rPr>
      <w:rFonts w:ascii="新細明體;PMingLiU" w:hAnsi="新細明體;PMingLiU" w:cs="新細明體;PMingLiU"/>
      <w:color w:val="000000"/>
      <w:kern w:val="0"/>
      <w:szCs w:val="24"/>
      <w:lang w:eastAsia="en-US"/>
    </w:rPr>
  </w:style>
  <w:style w:type="paragraph" w:styleId="ac">
    <w:name w:val="Balloon Text"/>
    <w:basedOn w:val="a"/>
    <w:qFormat/>
    <w:rPr>
      <w:rFonts w:ascii="Cambria" w:eastAsia="新細明體;PMingLiU" w:hAnsi="Cambria"/>
      <w:sz w:val="18"/>
      <w:szCs w:val="18"/>
    </w:rPr>
  </w:style>
  <w:style w:type="paragraph" w:styleId="ad">
    <w:name w:val="List Paragraph"/>
    <w:basedOn w:val="a"/>
    <w:qFormat/>
    <w:pPr>
      <w:ind w:left="480"/>
    </w:pPr>
  </w:style>
  <w:style w:type="paragraph" w:styleId="Web">
    <w:name w:val="Normal (Web)"/>
    <w:basedOn w:val="a"/>
    <w:qFormat/>
    <w:pPr>
      <w:widowControl/>
      <w:spacing w:before="280" w:after="280"/>
    </w:pPr>
    <w:rPr>
      <w:rFonts w:ascii="新細明體;PMingLiU" w:hAnsi="新細明體;PMingLiU" w:cs="新細明體;PMingLiU"/>
      <w:kern w:val="0"/>
      <w:szCs w:val="24"/>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細明體"/>
        <a:cs typeface="DejaVu Sans"/>
      </a:majorFont>
      <a:minorFont>
        <a:latin typeface="Arial"/>
        <a:ea typeface="新細明體"/>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Pages>
  <Words>178</Words>
  <Characters>1015</Characters>
  <Application>Microsoft Office Word</Application>
  <DocSecurity>0</DocSecurity>
  <Lines>8</Lines>
  <Paragraphs>2</Paragraphs>
  <ScaleCrop>false</ScaleCrop>
  <Company/>
  <LinksUpToDate>false</LinksUpToDate>
  <CharactersWithSpaces>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840203</dc:creator>
  <cp:keywords/>
  <dc:description/>
  <cp:lastModifiedBy>莊煒宜</cp:lastModifiedBy>
  <cp:revision>13</cp:revision>
  <cp:lastPrinted>2018-08-28T15:11:00Z</cp:lastPrinted>
  <dcterms:created xsi:type="dcterms:W3CDTF">2026-06-29T01:32:00Z</dcterms:created>
  <dcterms:modified xsi:type="dcterms:W3CDTF">2026-10-06T02:30:00Z</dcterms:modified>
  <dc:language>en-US</dc:language>
</cp:coreProperties>
</file>